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85EE" w14:textId="1B151ACC" w:rsidR="00F566D4" w:rsidRDefault="006E6811" w:rsidP="00D23E1D">
      <w:pPr>
        <w:jc w:val="center"/>
        <w:rPr>
          <w:b/>
          <w:bCs/>
          <w:sz w:val="32"/>
          <w:szCs w:val="32"/>
          <w:u w:val="double"/>
        </w:rPr>
      </w:pPr>
      <w:r>
        <w:rPr>
          <w:b/>
          <w:bCs/>
          <w:sz w:val="32"/>
          <w:szCs w:val="32"/>
          <w:u w:val="double"/>
        </w:rPr>
        <w:t xml:space="preserve">Ramshaw </w:t>
      </w:r>
      <w:r w:rsidR="00D23E1D" w:rsidRPr="00D049FC">
        <w:rPr>
          <w:b/>
          <w:bCs/>
          <w:sz w:val="32"/>
          <w:szCs w:val="32"/>
          <w:u w:val="double"/>
        </w:rPr>
        <w:t xml:space="preserve">Primary School </w:t>
      </w:r>
      <w:r w:rsidR="002F799F">
        <w:rPr>
          <w:b/>
          <w:bCs/>
          <w:sz w:val="32"/>
          <w:szCs w:val="32"/>
          <w:u w:val="double"/>
        </w:rPr>
        <w:t>–</w:t>
      </w:r>
      <w:r w:rsidR="00C969F9">
        <w:rPr>
          <w:b/>
          <w:bCs/>
          <w:sz w:val="32"/>
          <w:szCs w:val="32"/>
          <w:u w:val="double"/>
        </w:rPr>
        <w:t xml:space="preserve"> </w:t>
      </w:r>
      <w:r w:rsidR="002F799F">
        <w:rPr>
          <w:b/>
          <w:bCs/>
          <w:sz w:val="32"/>
          <w:szCs w:val="32"/>
          <w:u w:val="double"/>
        </w:rPr>
        <w:t xml:space="preserve">Catch-up </w:t>
      </w:r>
      <w:r w:rsidR="00D23E1D" w:rsidRPr="00D049FC">
        <w:rPr>
          <w:b/>
          <w:bCs/>
          <w:sz w:val="32"/>
          <w:szCs w:val="32"/>
          <w:u w:val="double"/>
        </w:rPr>
        <w:t>Premium Strategy 20</w:t>
      </w:r>
      <w:r w:rsidR="002F799F">
        <w:rPr>
          <w:b/>
          <w:bCs/>
          <w:sz w:val="32"/>
          <w:szCs w:val="32"/>
          <w:u w:val="double"/>
        </w:rPr>
        <w:t xml:space="preserve">20 </w:t>
      </w:r>
      <w:r w:rsidR="00D23E1D" w:rsidRPr="00D049FC">
        <w:rPr>
          <w:b/>
          <w:bCs/>
          <w:sz w:val="32"/>
          <w:szCs w:val="32"/>
          <w:u w:val="double"/>
        </w:rPr>
        <w:t>- 202</w:t>
      </w:r>
      <w:r w:rsidR="002F799F">
        <w:rPr>
          <w:b/>
          <w:bCs/>
          <w:sz w:val="32"/>
          <w:szCs w:val="32"/>
          <w:u w:val="double"/>
        </w:rPr>
        <w:t>1</w:t>
      </w:r>
    </w:p>
    <w:p w14:paraId="6741F571" w14:textId="2AF697D7" w:rsidR="00CE3B30" w:rsidRPr="001C6BFF" w:rsidRDefault="007C799A" w:rsidP="4E30B8EF">
      <w:pPr>
        <w:jc w:val="center"/>
        <w:rPr>
          <w:i/>
          <w:iCs/>
        </w:rPr>
      </w:pPr>
      <w:r w:rsidRPr="4E30B8EF">
        <w:rPr>
          <w:b/>
          <w:bCs/>
          <w:i/>
          <w:iCs/>
        </w:rPr>
        <w:t>Updated</w:t>
      </w:r>
      <w:r w:rsidR="00642BCD" w:rsidRPr="4E30B8EF">
        <w:rPr>
          <w:b/>
          <w:bCs/>
          <w:i/>
          <w:iCs/>
        </w:rPr>
        <w:t>:</w:t>
      </w:r>
      <w:r w:rsidR="009B1CB9">
        <w:rPr>
          <w:b/>
          <w:bCs/>
          <w:i/>
          <w:iCs/>
        </w:rPr>
        <w:t xml:space="preserve"> 16.12</w:t>
      </w:r>
      <w:r w:rsidR="6501CC4C" w:rsidRPr="4E30B8EF">
        <w:rPr>
          <w:b/>
          <w:bCs/>
          <w:i/>
          <w:iCs/>
        </w:rPr>
        <w:t>.2020</w:t>
      </w:r>
    </w:p>
    <w:p w14:paraId="27F99D8C" w14:textId="77777777" w:rsidR="00F31685" w:rsidRPr="001C6BFF" w:rsidRDefault="00F31685" w:rsidP="00F31685">
      <w:pPr>
        <w:pBdr>
          <w:top w:val="nil"/>
          <w:left w:val="nil"/>
          <w:bottom w:val="nil"/>
          <w:right w:val="nil"/>
          <w:between w:val="nil"/>
        </w:pBdr>
        <w:rPr>
          <w:rFonts w:ascii="Twinkl" w:eastAsia="Calibri" w:hAnsi="Twinkl" w:cs="Calibri"/>
          <w:b/>
          <w:i/>
          <w:iCs/>
          <w:color w:val="000000"/>
          <w:u w:val="single"/>
          <w:lang w:eastAsia="en-GB"/>
        </w:rPr>
      </w:pPr>
      <w:bookmarkStart w:id="0" w:name="_Hlk49165991"/>
      <w:r w:rsidRPr="001C6BFF">
        <w:rPr>
          <w:rFonts w:ascii="Arial" w:eastAsia="Times New Roman" w:hAnsi="Arial" w:cs="Arial"/>
          <w:b/>
          <w:bCs/>
          <w:i/>
          <w:iCs/>
          <w:lang w:val="en" w:eastAsia="en-GB"/>
        </w:rPr>
        <w:t>Funding allocation (Mainstream Schools)</w:t>
      </w:r>
    </w:p>
    <w:p w14:paraId="2E1DD5FB" w14:textId="56F61B4A" w:rsidR="00F31685" w:rsidRPr="001C6BFF" w:rsidRDefault="00F31685" w:rsidP="00016889">
      <w:pPr>
        <w:spacing w:after="0" w:line="240" w:lineRule="auto"/>
        <w:rPr>
          <w:rFonts w:ascii="Arial" w:eastAsia="Times New Roman" w:hAnsi="Arial" w:cs="Arial"/>
          <w:i/>
          <w:iCs/>
          <w:lang w:val="en" w:eastAsia="en-GB"/>
        </w:rPr>
      </w:pPr>
      <w:r w:rsidRPr="001C6BFF">
        <w:rPr>
          <w:rFonts w:ascii="Arial" w:eastAsia="Times New Roman" w:hAnsi="Arial" w:cs="Arial"/>
          <w:i/>
          <w:iCs/>
          <w:lang w:val="en" w:eastAsia="en-GB"/>
        </w:rPr>
        <w:t xml:space="preserve">Schools’ allocations will be calculated on a per pupil basis, providing each mainstream school with a total of £80 for each pupil in </w:t>
      </w:r>
      <w:proofErr w:type="gramStart"/>
      <w:r w:rsidRPr="001C6BFF">
        <w:rPr>
          <w:rFonts w:ascii="Arial" w:eastAsia="Times New Roman" w:hAnsi="Arial" w:cs="Arial"/>
          <w:i/>
          <w:iCs/>
          <w:lang w:val="en" w:eastAsia="en-GB"/>
        </w:rPr>
        <w:t>years</w:t>
      </w:r>
      <w:proofErr w:type="gramEnd"/>
      <w:r w:rsidRPr="001C6BFF">
        <w:rPr>
          <w:rFonts w:ascii="Arial" w:eastAsia="Times New Roman" w:hAnsi="Arial" w:cs="Arial"/>
          <w:i/>
          <w:iCs/>
          <w:lang w:val="en" w:eastAsia="en-GB"/>
        </w:rPr>
        <w:t xml:space="preserve"> reception through to 11.</w:t>
      </w:r>
    </w:p>
    <w:p w14:paraId="3A81C9FD" w14:textId="77777777" w:rsidR="00016889" w:rsidRPr="001C6BFF" w:rsidRDefault="00016889" w:rsidP="00016889">
      <w:pPr>
        <w:spacing w:after="0" w:line="240" w:lineRule="auto"/>
        <w:rPr>
          <w:rFonts w:ascii="Arial" w:eastAsia="Times New Roman" w:hAnsi="Arial" w:cs="Arial"/>
          <w:i/>
          <w:iCs/>
          <w:lang w:val="en" w:eastAsia="en-GB"/>
        </w:rPr>
      </w:pPr>
    </w:p>
    <w:p w14:paraId="49A6DB05" w14:textId="77777777" w:rsidR="00F31685" w:rsidRPr="001C6BFF" w:rsidRDefault="00F31685" w:rsidP="00016889">
      <w:pPr>
        <w:spacing w:after="0" w:line="240" w:lineRule="auto"/>
        <w:rPr>
          <w:rFonts w:ascii="Arial" w:eastAsia="Times New Roman" w:hAnsi="Arial" w:cs="Arial"/>
          <w:i/>
          <w:iCs/>
          <w:lang w:val="en" w:eastAsia="en-GB"/>
        </w:rPr>
      </w:pPr>
      <w:r w:rsidRPr="001C6BFF">
        <w:rPr>
          <w:rFonts w:ascii="Arial" w:eastAsia="Times New Roman" w:hAnsi="Arial" w:cs="Arial"/>
          <w:b/>
          <w:bCs/>
          <w:i/>
          <w:iCs/>
          <w:lang w:val="en" w:eastAsia="en-GB"/>
        </w:rPr>
        <w:t>Payments</w:t>
      </w:r>
    </w:p>
    <w:p w14:paraId="212D2AAE" w14:textId="77777777" w:rsidR="00F31685" w:rsidRPr="001C6BFF" w:rsidRDefault="00F31685" w:rsidP="00016889">
      <w:pPr>
        <w:spacing w:line="240" w:lineRule="auto"/>
        <w:rPr>
          <w:rFonts w:ascii="Arial" w:eastAsia="Times New Roman" w:hAnsi="Arial" w:cs="Arial"/>
          <w:i/>
          <w:iCs/>
          <w:lang w:val="en" w:eastAsia="en-GB"/>
        </w:rPr>
      </w:pPr>
      <w:r w:rsidRPr="001C6BFF">
        <w:rPr>
          <w:rFonts w:ascii="Arial" w:eastAsia="Times New Roman" w:hAnsi="Arial" w:cs="Arial"/>
          <w:i/>
          <w:iCs/>
          <w:lang w:val="en" w:eastAsia="en-GB"/>
        </w:rPr>
        <w:t>This funding will be provided in 3 tranches. We will provide schools with an initial part payment in autumn 2020, based on the latest available data on pupils. We will then distribute a second grant payment in early 2021, based on updated pupil and place data. For mainstream schools, we will use the 4 to 15 pupil headcount from the October 2020 census.</w:t>
      </w:r>
    </w:p>
    <w:p w14:paraId="5CCB2336" w14:textId="77777777" w:rsidR="00F31685" w:rsidRPr="001C6BFF" w:rsidRDefault="00F31685" w:rsidP="00016889">
      <w:pPr>
        <w:spacing w:after="0" w:line="240" w:lineRule="auto"/>
        <w:rPr>
          <w:rFonts w:ascii="Arial" w:eastAsia="Times New Roman" w:hAnsi="Arial" w:cs="Arial"/>
          <w:i/>
          <w:iCs/>
          <w:lang w:val="en" w:eastAsia="en-GB"/>
        </w:rPr>
      </w:pPr>
      <w:r w:rsidRPr="001C6BFF">
        <w:rPr>
          <w:rFonts w:ascii="Arial" w:eastAsia="Times New Roman" w:hAnsi="Arial" w:cs="Arial"/>
          <w:i/>
          <w:iCs/>
          <w:lang w:val="en" w:eastAsia="en-GB"/>
        </w:rPr>
        <w:t xml:space="preserve">The second grant payment will also take account of the initial part payment made in autumn 2020 so that schools will receive a total of </w:t>
      </w:r>
      <w:r w:rsidRPr="001C6BFF">
        <w:rPr>
          <w:rFonts w:ascii="Arial" w:eastAsia="Times New Roman" w:hAnsi="Arial" w:cs="Arial"/>
          <w:b/>
          <w:bCs/>
          <w:i/>
          <w:iCs/>
          <w:lang w:val="en" w:eastAsia="en-GB"/>
        </w:rPr>
        <w:t xml:space="preserve">£46.67 </w:t>
      </w:r>
      <w:r w:rsidRPr="001C6BFF">
        <w:rPr>
          <w:rFonts w:ascii="Arial" w:eastAsia="Times New Roman" w:hAnsi="Arial" w:cs="Arial"/>
          <w:i/>
          <w:iCs/>
          <w:lang w:val="en" w:eastAsia="en-GB"/>
        </w:rPr>
        <w:t>per pupil. A further £33.33 per pupil will be paid during the summer term 2021.</w:t>
      </w:r>
    </w:p>
    <w:p w14:paraId="7812ABD3" w14:textId="77777777" w:rsidR="00F31685" w:rsidRPr="001C6BFF" w:rsidRDefault="00F31685" w:rsidP="00016889">
      <w:pPr>
        <w:spacing w:after="0" w:line="240" w:lineRule="auto"/>
        <w:rPr>
          <w:rFonts w:ascii="Arial" w:eastAsia="Times New Roman" w:hAnsi="Arial" w:cs="Arial"/>
          <w:i/>
          <w:iCs/>
          <w:lang w:val="en" w:eastAsia="en-GB"/>
        </w:rPr>
      </w:pPr>
      <w:r w:rsidRPr="001C6BFF">
        <w:rPr>
          <w:rFonts w:ascii="Arial" w:eastAsia="Times New Roman" w:hAnsi="Arial" w:cs="Arial"/>
          <w:i/>
          <w:iCs/>
          <w:lang w:val="en" w:eastAsia="en-GB"/>
        </w:rPr>
        <w:t xml:space="preserve">Though funding has been calculated on a per pupil basis, schools should use the sum available to them as a single total from which to </w:t>
      </w:r>
      <w:proofErr w:type="spellStart"/>
      <w:r w:rsidRPr="001C6BFF">
        <w:rPr>
          <w:rFonts w:ascii="Arial" w:eastAsia="Times New Roman" w:hAnsi="Arial" w:cs="Arial"/>
          <w:i/>
          <w:iCs/>
          <w:lang w:val="en" w:eastAsia="en-GB"/>
        </w:rPr>
        <w:t>prioritise</w:t>
      </w:r>
      <w:proofErr w:type="spellEnd"/>
      <w:r w:rsidRPr="001C6BFF">
        <w:rPr>
          <w:rFonts w:ascii="Arial" w:eastAsia="Times New Roman" w:hAnsi="Arial" w:cs="Arial"/>
          <w:i/>
          <w:iCs/>
          <w:lang w:val="en" w:eastAsia="en-GB"/>
        </w:rPr>
        <w:t xml:space="preserve"> support for pupils according to their need.</w:t>
      </w:r>
    </w:p>
    <w:p w14:paraId="7F56BC5A" w14:textId="77777777" w:rsidR="00F31685" w:rsidRPr="001C6BFF" w:rsidRDefault="00F31685" w:rsidP="00016889">
      <w:pPr>
        <w:spacing w:after="0" w:line="240" w:lineRule="auto"/>
        <w:rPr>
          <w:rFonts w:ascii="Arial" w:eastAsia="Times New Roman" w:hAnsi="Arial" w:cs="Arial"/>
          <w:i/>
          <w:iCs/>
          <w:lang w:val="en" w:eastAsia="en-GB"/>
        </w:rPr>
      </w:pPr>
      <w:r w:rsidRPr="001C6BFF">
        <w:rPr>
          <w:rFonts w:ascii="Arial" w:eastAsia="Times New Roman" w:hAnsi="Arial" w:cs="Arial"/>
          <w:i/>
          <w:iCs/>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84CEE4" w14:textId="77777777" w:rsidR="00F31685" w:rsidRPr="001C6BFF"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1C6BFF">
        <w:rPr>
          <w:rFonts w:ascii="Arial" w:eastAsia="Times New Roman" w:hAnsi="Arial" w:cs="Arial"/>
          <w:b/>
          <w:bCs/>
          <w:i/>
          <w:iCs/>
          <w:lang w:val="en" w:eastAsia="en-GB"/>
        </w:rPr>
        <w:t>Use of funds</w:t>
      </w:r>
    </w:p>
    <w:p w14:paraId="2B01E6F5" w14:textId="326622E9" w:rsidR="00F31685" w:rsidRPr="001C6BFF" w:rsidRDefault="00F31685" w:rsidP="00F31685">
      <w:pPr>
        <w:spacing w:before="100" w:beforeAutospacing="1" w:after="100" w:afterAutospacing="1" w:line="240" w:lineRule="auto"/>
        <w:rPr>
          <w:rFonts w:ascii="Arial" w:eastAsia="Times New Roman" w:hAnsi="Arial" w:cs="Arial"/>
          <w:i/>
          <w:iCs/>
          <w:lang w:val="en" w:eastAsia="en-GB"/>
        </w:rPr>
      </w:pPr>
      <w:r w:rsidRPr="001C6BFF">
        <w:rPr>
          <w:rFonts w:ascii="Arial" w:eastAsia="Times New Roman" w:hAnsi="Arial" w:cs="Arial"/>
          <w:i/>
          <w:iCs/>
          <w:lang w:val="en" w:eastAsia="en-GB"/>
        </w:rPr>
        <w:t xml:space="preserve">Schools should use this funding for specific activities to support their pupils to catch up for lost teaching over the previous months, in line with the guidance on </w:t>
      </w:r>
      <w:hyperlink r:id="rId8" w:anchor="section-3-curriculum-behaviour-and-pastoral-support" w:history="1">
        <w:r w:rsidRPr="001C6BFF">
          <w:rPr>
            <w:rFonts w:ascii="Arial" w:eastAsia="Times New Roman" w:hAnsi="Arial" w:cs="Arial"/>
            <w:i/>
            <w:iCs/>
            <w:color w:val="0000FF"/>
            <w:u w:val="single"/>
            <w:lang w:val="en" w:eastAsia="en-GB"/>
          </w:rPr>
          <w:t>curriculum expectations for the next academic year</w:t>
        </w:r>
      </w:hyperlink>
      <w:r w:rsidRPr="001C6BFF">
        <w:rPr>
          <w:rFonts w:ascii="Arial" w:eastAsia="Times New Roman" w:hAnsi="Arial" w:cs="Arial"/>
          <w:i/>
          <w:iCs/>
          <w:lang w:val="en" w:eastAsia="en-GB"/>
        </w:rPr>
        <w:t>.</w:t>
      </w:r>
      <w:r w:rsidR="00016889" w:rsidRPr="001C6BFF">
        <w:rPr>
          <w:rFonts w:ascii="Arial" w:eastAsia="Times New Roman" w:hAnsi="Arial" w:cs="Arial"/>
          <w:i/>
          <w:iCs/>
          <w:lang w:val="en" w:eastAsia="en-GB"/>
        </w:rPr>
        <w:t xml:space="preserve"> (See also </w:t>
      </w:r>
      <w:hyperlink r:id="rId9" w:history="1">
        <w:r w:rsidR="00016889" w:rsidRPr="001C6BFF">
          <w:rPr>
            <w:rStyle w:val="Hyperlink"/>
            <w:rFonts w:ascii="Arial" w:hAnsi="Arial" w:cs="Arial"/>
            <w:b/>
            <w:bCs/>
          </w:rPr>
          <w:t>EEF - School Planning Guide 2020-21</w:t>
        </w:r>
      </w:hyperlink>
      <w:r w:rsidR="00016889" w:rsidRPr="001C6BFF">
        <w:rPr>
          <w:rFonts w:ascii="Arial" w:hAnsi="Arial" w:cs="Arial"/>
        </w:rPr>
        <w:t xml:space="preserve"> )</w:t>
      </w:r>
    </w:p>
    <w:p w14:paraId="03060E96" w14:textId="77777777" w:rsidR="00F31685" w:rsidRPr="001C6BFF" w:rsidRDefault="00F31685" w:rsidP="00F31685">
      <w:pPr>
        <w:spacing w:before="100" w:beforeAutospacing="1" w:after="100" w:afterAutospacing="1" w:line="240" w:lineRule="auto"/>
        <w:rPr>
          <w:rFonts w:ascii="Arial" w:eastAsia="Times New Roman" w:hAnsi="Arial" w:cs="Arial"/>
          <w:i/>
          <w:iCs/>
          <w:lang w:val="en" w:eastAsia="en-GB"/>
        </w:rPr>
      </w:pPr>
      <w:r w:rsidRPr="001C6BFF">
        <w:rPr>
          <w:rFonts w:ascii="Arial" w:eastAsia="Times New Roman" w:hAnsi="Arial" w:cs="Arial"/>
          <w:i/>
          <w:iCs/>
          <w:lang w:val="en" w:eastAsia="en-GB"/>
        </w:rPr>
        <w:t>Schools have the flexibility to spend their funding in the best way for their cohort and circumstances.</w:t>
      </w:r>
    </w:p>
    <w:p w14:paraId="1A6A5235" w14:textId="77777777" w:rsidR="00F31685" w:rsidRPr="001C6BFF"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1C6BFF">
        <w:rPr>
          <w:rFonts w:ascii="Arial" w:eastAsia="Times New Roman" w:hAnsi="Arial" w:cs="Arial"/>
          <w:b/>
          <w:bCs/>
          <w:i/>
          <w:iCs/>
          <w:lang w:val="en" w:eastAsia="en-GB"/>
        </w:rPr>
        <w:t>Accountability and monitoring</w:t>
      </w:r>
    </w:p>
    <w:p w14:paraId="7BE07A31" w14:textId="77777777" w:rsidR="00F31685" w:rsidRPr="001C6BFF" w:rsidRDefault="00F31685" w:rsidP="00F31685">
      <w:pPr>
        <w:spacing w:before="100" w:beforeAutospacing="1" w:after="100" w:afterAutospacing="1" w:line="240" w:lineRule="auto"/>
        <w:rPr>
          <w:rFonts w:ascii="Arial" w:eastAsia="Times New Roman" w:hAnsi="Arial" w:cs="Arial"/>
          <w:i/>
          <w:iCs/>
          <w:lang w:val="en" w:eastAsia="en-GB"/>
        </w:rPr>
      </w:pPr>
      <w:r w:rsidRPr="001C6BFF">
        <w:rPr>
          <w:rFonts w:ascii="Arial" w:eastAsia="Times New Roman" w:hAnsi="Arial" w:cs="Arial"/>
          <w:i/>
          <w:iCs/>
          <w:lang w:val="en" w:eastAsia="en-GB"/>
        </w:rPr>
        <w:t>As with all government funding, school leaders must be able to account for how this money is being used to achieve our central goal of schools getting back on track and teaching a normal curriculum as quickly as possible.</w:t>
      </w:r>
    </w:p>
    <w:p w14:paraId="6DBCB0D2" w14:textId="77777777" w:rsidR="00F31685" w:rsidRPr="001C6BFF" w:rsidRDefault="00F31685" w:rsidP="00F31685">
      <w:pPr>
        <w:spacing w:after="0" w:line="240" w:lineRule="auto"/>
        <w:rPr>
          <w:rFonts w:ascii="Arial" w:eastAsia="Times New Roman" w:hAnsi="Arial" w:cs="Arial"/>
          <w:b/>
          <w:bCs/>
          <w:lang w:val="en" w:eastAsia="en-GB"/>
        </w:rPr>
      </w:pPr>
      <w:r w:rsidRPr="001C6BFF">
        <w:rPr>
          <w:rFonts w:ascii="Arial" w:eastAsia="Times New Roman" w:hAnsi="Arial" w:cs="Arial"/>
          <w:i/>
          <w:iCs/>
          <w:lang w:val="en" w:eastAsia="en-GB"/>
        </w:rPr>
        <w:t xml:space="preserve">Given their role in ensuring schools spend funding appropriately and in holding schools to account for educational performance, governors and trustees should </w:t>
      </w:r>
      <w:proofErr w:type="spellStart"/>
      <w:r w:rsidRPr="001C6BFF">
        <w:rPr>
          <w:rFonts w:ascii="Arial" w:eastAsia="Times New Roman" w:hAnsi="Arial" w:cs="Arial"/>
          <w:i/>
          <w:iCs/>
          <w:lang w:val="en" w:eastAsia="en-GB"/>
        </w:rPr>
        <w:t>scrutinise</w:t>
      </w:r>
      <w:proofErr w:type="spellEnd"/>
      <w:r w:rsidRPr="001C6BFF">
        <w:rPr>
          <w:rFonts w:ascii="Arial" w:eastAsia="Times New Roman" w:hAnsi="Arial" w:cs="Arial"/>
          <w:i/>
          <w:iCs/>
          <w:lang w:val="en" w:eastAsia="en-GB"/>
        </w:rPr>
        <w:t xml:space="preserve"> schools’ approaches to catch-up from September, including their plans for and use of catch-up funding. This should include consideration of whether schools are spending this funding in line with their catch-up priorities, and ensuring appropriate transparency for parents. </w:t>
      </w:r>
      <w:r w:rsidRPr="001C6BFF">
        <w:rPr>
          <w:rFonts w:ascii="Arial" w:eastAsia="Times New Roman" w:hAnsi="Arial" w:cs="Arial"/>
          <w:lang w:val="en" w:eastAsia="en-GB"/>
        </w:rPr>
        <w:t>(</w:t>
      </w:r>
      <w:proofErr w:type="spellStart"/>
      <w:r w:rsidRPr="001C6BFF">
        <w:rPr>
          <w:rFonts w:ascii="Arial" w:eastAsia="Times New Roman" w:hAnsi="Arial" w:cs="Arial"/>
          <w:b/>
          <w:bCs/>
          <w:lang w:val="en" w:eastAsia="en-GB"/>
        </w:rPr>
        <w:t>DfE</w:t>
      </w:r>
      <w:proofErr w:type="spellEnd"/>
      <w:r w:rsidRPr="001C6BFF">
        <w:rPr>
          <w:rFonts w:ascii="Arial" w:eastAsia="Times New Roman" w:hAnsi="Arial" w:cs="Arial"/>
          <w:b/>
          <w:bCs/>
          <w:lang w:val="en" w:eastAsia="en-GB"/>
        </w:rPr>
        <w:t xml:space="preserve"> guidance - </w:t>
      </w:r>
      <w:r w:rsidRPr="001C6BFF">
        <w:rPr>
          <w:rFonts w:ascii="Arial" w:eastAsia="Times New Roman" w:hAnsi="Arial" w:cs="Arial"/>
          <w:b/>
          <w:bCs/>
          <w:kern w:val="36"/>
          <w:lang w:val="en" w:eastAsia="en-GB"/>
        </w:rPr>
        <w:t>Coronavirus (COVID-19) catch-up premium - updated 24/08/2020)</w:t>
      </w:r>
    </w:p>
    <w:bookmarkEnd w:id="0"/>
    <w:p w14:paraId="5ED77663" w14:textId="78479063" w:rsidR="00016889" w:rsidRDefault="00016889">
      <w:pPr>
        <w:rPr>
          <w:b/>
          <w:bCs/>
          <w:sz w:val="20"/>
          <w:szCs w:val="20"/>
          <w:u w:val="single"/>
        </w:rPr>
      </w:pPr>
    </w:p>
    <w:p w14:paraId="6C7B2651" w14:textId="77777777" w:rsidR="00642BCD" w:rsidRDefault="00642BCD">
      <w:pPr>
        <w:rPr>
          <w:b/>
          <w:bCs/>
          <w:sz w:val="20"/>
          <w:szCs w:val="20"/>
          <w:u w:val="single"/>
        </w:rPr>
      </w:pPr>
    </w:p>
    <w:p w14:paraId="2480CE78" w14:textId="32131F83" w:rsidR="00D23E1D" w:rsidRPr="00D049FC" w:rsidRDefault="00D23E1D" w:rsidP="4E30B8EF">
      <w:pPr>
        <w:rPr>
          <w:b/>
          <w:bCs/>
          <w:sz w:val="20"/>
          <w:szCs w:val="20"/>
          <w:u w:val="single"/>
        </w:rPr>
      </w:pPr>
    </w:p>
    <w:p w14:paraId="69C8EBCF" w14:textId="737EDE73" w:rsidR="00D23E1D" w:rsidRPr="00D049FC" w:rsidRDefault="00D23E1D" w:rsidP="4E30B8EF">
      <w:pPr>
        <w:rPr>
          <w:b/>
          <w:bCs/>
          <w:sz w:val="28"/>
          <w:szCs w:val="28"/>
          <w:u w:val="single"/>
        </w:rPr>
      </w:pPr>
    </w:p>
    <w:p w14:paraId="6871E529" w14:textId="13C075F0" w:rsidR="00D23E1D" w:rsidRPr="00D049FC" w:rsidRDefault="00D23E1D" w:rsidP="4E30B8EF">
      <w:pPr>
        <w:rPr>
          <w:b/>
          <w:bCs/>
          <w:sz w:val="28"/>
          <w:szCs w:val="28"/>
          <w:u w:val="single"/>
        </w:rPr>
      </w:pPr>
      <w:r w:rsidRPr="4E30B8EF">
        <w:rPr>
          <w:b/>
          <w:bCs/>
          <w:sz w:val="28"/>
          <w:szCs w:val="28"/>
          <w:u w:val="single"/>
        </w:rPr>
        <w:lastRenderedPageBreak/>
        <w:t>School Overview</w:t>
      </w:r>
    </w:p>
    <w:tbl>
      <w:tblPr>
        <w:tblW w:w="6946" w:type="dxa"/>
        <w:tblInd w:w="-5" w:type="dxa"/>
        <w:tblCellMar>
          <w:left w:w="10" w:type="dxa"/>
          <w:right w:w="10" w:type="dxa"/>
        </w:tblCellMar>
        <w:tblLook w:val="04A0" w:firstRow="1" w:lastRow="0" w:firstColumn="1" w:lastColumn="0" w:noHBand="0" w:noVBand="1"/>
      </w:tblPr>
      <w:tblGrid>
        <w:gridCol w:w="4793"/>
        <w:gridCol w:w="2153"/>
      </w:tblGrid>
      <w:tr w:rsidR="00D23E1D" w:rsidRPr="00D23E1D" w14:paraId="0D8E56F0"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1526C"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Number of pupils in school</w:t>
            </w:r>
            <w:r w:rsidR="00F660E2">
              <w:rPr>
                <w:rFonts w:eastAsia="Times New Roman" w:cstheme="minorHAnsi"/>
                <w:color w:val="0D0D0D"/>
                <w:lang w:eastAsia="en-GB"/>
              </w:rPr>
              <w:t xml:space="preserve"> </w:t>
            </w:r>
            <w:r w:rsidR="002F799F">
              <w:rPr>
                <w:rFonts w:eastAsia="Times New Roman" w:cstheme="minorHAnsi"/>
                <w:color w:val="0D0D0D"/>
                <w:lang w:eastAsia="en-GB"/>
              </w:rPr>
              <w:t>YR – Y6</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F517" w14:textId="4B562C06" w:rsidR="00D23E1D" w:rsidRPr="00D23E1D" w:rsidRDefault="006E6811" w:rsidP="49449343">
            <w:pPr>
              <w:suppressAutoHyphens/>
              <w:autoSpaceDN w:val="0"/>
              <w:spacing w:before="60" w:after="60" w:line="240" w:lineRule="auto"/>
              <w:ind w:left="57" w:right="57" w:firstLine="720"/>
              <w:textAlignment w:val="baseline"/>
              <w:rPr>
                <w:rFonts w:eastAsia="Times New Roman"/>
                <w:color w:val="0D0D0D"/>
                <w:lang w:eastAsia="en-GB"/>
              </w:rPr>
            </w:pPr>
            <w:r w:rsidRPr="49449343">
              <w:rPr>
                <w:rFonts w:eastAsia="Times New Roman"/>
                <w:color w:val="0D0D0D" w:themeColor="text1" w:themeTint="F2"/>
                <w:lang w:eastAsia="en-GB"/>
              </w:rPr>
              <w:t>6</w:t>
            </w:r>
            <w:r w:rsidR="009B1CB9">
              <w:rPr>
                <w:rFonts w:eastAsia="Times New Roman"/>
                <w:color w:val="0D0D0D" w:themeColor="text1" w:themeTint="F2"/>
                <w:lang w:eastAsia="en-GB"/>
              </w:rPr>
              <w:t>4</w:t>
            </w:r>
          </w:p>
        </w:tc>
      </w:tr>
      <w:tr w:rsidR="00D23E1D" w:rsidRPr="00D23E1D" w14:paraId="6B3A87EF"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A9F806"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Proportion of disadvantaged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CD8EC" w14:textId="0AB48021" w:rsidR="00D23E1D" w:rsidRPr="00D23E1D" w:rsidRDefault="00DC6F7D" w:rsidP="001C6BFF">
            <w:pPr>
              <w:suppressAutoHyphens/>
              <w:autoSpaceDN w:val="0"/>
              <w:spacing w:before="60" w:after="60" w:line="240" w:lineRule="auto"/>
              <w:ind w:left="57" w:right="57"/>
              <w:jc w:val="center"/>
              <w:textAlignment w:val="baseline"/>
              <w:rPr>
                <w:rFonts w:eastAsia="Times New Roman" w:cstheme="minorHAnsi"/>
                <w:color w:val="0D0D0D"/>
                <w:lang w:eastAsia="en-GB"/>
              </w:rPr>
            </w:pPr>
            <w:r>
              <w:rPr>
                <w:rFonts w:eastAsia="Times New Roman" w:cstheme="minorHAnsi"/>
                <w:color w:val="0D0D0D"/>
                <w:lang w:eastAsia="en-GB"/>
              </w:rPr>
              <w:t>23.4</w:t>
            </w:r>
            <w:r w:rsidR="00533DD8">
              <w:rPr>
                <w:rFonts w:eastAsia="Times New Roman" w:cstheme="minorHAnsi"/>
                <w:color w:val="0D0D0D"/>
                <w:lang w:eastAsia="en-GB"/>
              </w:rPr>
              <w:t>%</w:t>
            </w:r>
            <w:bookmarkStart w:id="1" w:name="_GoBack"/>
            <w:bookmarkEnd w:id="1"/>
          </w:p>
        </w:tc>
      </w:tr>
      <w:tr w:rsidR="00D23E1D" w:rsidRPr="00D23E1D" w14:paraId="10F7A615"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DD07D" w14:textId="77777777" w:rsidR="00D23E1D" w:rsidRPr="00D23E1D" w:rsidRDefault="002F799F"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Catch-up Premium allocation (No. of pupils x £80)</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1E34" w14:textId="05C6C4A6" w:rsidR="00D23E1D" w:rsidRPr="00D23E1D" w:rsidRDefault="006E6811" w:rsidP="009B1CB9">
            <w:pPr>
              <w:suppressAutoHyphens/>
              <w:autoSpaceDN w:val="0"/>
              <w:spacing w:before="60" w:after="60" w:line="240" w:lineRule="auto"/>
              <w:ind w:left="57" w:right="57"/>
              <w:jc w:val="center"/>
              <w:textAlignment w:val="baseline"/>
              <w:rPr>
                <w:rFonts w:eastAsia="Times New Roman"/>
                <w:color w:val="0D0D0D"/>
                <w:lang w:eastAsia="en-GB"/>
              </w:rPr>
            </w:pPr>
            <w:r w:rsidRPr="49449343">
              <w:rPr>
                <w:rFonts w:eastAsia="Times New Roman"/>
                <w:color w:val="0D0D0D" w:themeColor="text1" w:themeTint="F2"/>
                <w:lang w:eastAsia="en-GB"/>
              </w:rPr>
              <w:t>£5</w:t>
            </w:r>
            <w:r w:rsidR="009B1CB9">
              <w:rPr>
                <w:rFonts w:eastAsia="Times New Roman"/>
                <w:color w:val="0D0D0D" w:themeColor="text1" w:themeTint="F2"/>
                <w:lang w:eastAsia="en-GB"/>
              </w:rPr>
              <w:t>120</w:t>
            </w:r>
          </w:p>
        </w:tc>
      </w:tr>
      <w:tr w:rsidR="00D23E1D" w:rsidRPr="00D23E1D" w14:paraId="5F546343"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B2A68"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Publish D</w:t>
            </w:r>
            <w:r w:rsidR="00D23E1D" w:rsidRPr="00D23E1D">
              <w:rPr>
                <w:rFonts w:eastAsia="Times New Roman" w:cstheme="minorHAnsi"/>
                <w:color w:val="0D0D0D"/>
                <w:lang w:eastAsia="en-GB"/>
              </w:rPr>
              <w:t>ate</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682CA" w14:textId="65DB8E1A" w:rsidR="00D23E1D" w:rsidRPr="00D23E1D" w:rsidRDefault="00642BCD" w:rsidP="007A01C7">
            <w:pPr>
              <w:suppressAutoHyphens/>
              <w:autoSpaceDN w:val="0"/>
              <w:spacing w:before="60" w:after="60" w:line="240" w:lineRule="auto"/>
              <w:ind w:left="57" w:right="57"/>
              <w:jc w:val="center"/>
              <w:textAlignment w:val="baseline"/>
              <w:rPr>
                <w:rFonts w:eastAsia="Times New Roman" w:cstheme="minorHAnsi"/>
                <w:color w:val="0D0D0D"/>
                <w:lang w:eastAsia="en-GB"/>
              </w:rPr>
            </w:pPr>
            <w:r>
              <w:rPr>
                <w:rFonts w:eastAsia="Times New Roman" w:cstheme="minorHAnsi"/>
                <w:color w:val="0D0D0D"/>
                <w:lang w:eastAsia="en-GB"/>
              </w:rPr>
              <w:t>Sept 2020</w:t>
            </w:r>
          </w:p>
        </w:tc>
      </w:tr>
      <w:tr w:rsidR="00D23E1D" w:rsidRPr="00D23E1D" w14:paraId="08747CE3"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0E00D"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Review D</w:t>
            </w:r>
            <w:r w:rsidR="00D23E1D" w:rsidRPr="00D23E1D">
              <w:rPr>
                <w:rFonts w:eastAsia="Times New Roman" w:cstheme="minorHAnsi"/>
                <w:color w:val="0D0D0D"/>
                <w:lang w:eastAsia="en-GB"/>
              </w:rPr>
              <w:t>ate</w:t>
            </w:r>
            <w:r w:rsidR="002F799F">
              <w:rPr>
                <w:rFonts w:eastAsia="Times New Roman" w:cstheme="minorHAnsi"/>
                <w:color w:val="0D0D0D"/>
                <w:lang w:eastAsia="en-GB"/>
              </w:rPr>
              <w:t>s</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01CFA" w14:textId="6F43A87B" w:rsidR="00D23E1D" w:rsidRPr="00D23E1D" w:rsidRDefault="00C3400A" w:rsidP="00C3400A">
            <w:pPr>
              <w:suppressAutoHyphens/>
              <w:autoSpaceDN w:val="0"/>
              <w:spacing w:before="60" w:after="60" w:line="240" w:lineRule="auto"/>
              <w:ind w:left="57" w:right="57"/>
              <w:jc w:val="center"/>
              <w:textAlignment w:val="baseline"/>
              <w:rPr>
                <w:rFonts w:eastAsia="Times New Roman" w:cstheme="minorHAnsi"/>
                <w:color w:val="0D0D0D"/>
                <w:lang w:eastAsia="en-GB"/>
              </w:rPr>
            </w:pPr>
            <w:r>
              <w:rPr>
                <w:rFonts w:eastAsia="Times New Roman" w:cstheme="minorHAnsi"/>
                <w:color w:val="0D0D0D"/>
                <w:lang w:eastAsia="en-GB"/>
              </w:rPr>
              <w:t>Dec 2020</w:t>
            </w:r>
            <w:r w:rsidR="00642BCD">
              <w:rPr>
                <w:rFonts w:eastAsia="Times New Roman" w:cstheme="minorHAnsi"/>
                <w:color w:val="0D0D0D"/>
                <w:lang w:eastAsia="en-GB"/>
              </w:rPr>
              <w:t xml:space="preserve"> / Mar 2021</w:t>
            </w:r>
            <w:r w:rsidR="00647810">
              <w:rPr>
                <w:rFonts w:eastAsia="Times New Roman" w:cstheme="minorHAnsi"/>
                <w:color w:val="0D0D0D"/>
                <w:lang w:eastAsia="en-GB"/>
              </w:rPr>
              <w:t xml:space="preserve"> / June 2021</w:t>
            </w:r>
          </w:p>
        </w:tc>
      </w:tr>
      <w:tr w:rsidR="00D23E1D" w:rsidRPr="00D23E1D" w14:paraId="3707A383"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7D0AD" w14:textId="77777777" w:rsidR="00D23E1D" w:rsidRPr="00D23E1D"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D23E1D">
              <w:rPr>
                <w:rFonts w:eastAsia="Times New Roman" w:cstheme="minorHAnsi"/>
                <w:color w:val="0D0D0D"/>
                <w:lang w:eastAsia="en-GB"/>
              </w:rPr>
              <w:t xml:space="preserve">Statement </w:t>
            </w:r>
            <w:r w:rsidR="002F799F">
              <w:rPr>
                <w:rFonts w:eastAsia="Times New Roman" w:cstheme="minorHAnsi"/>
                <w:color w:val="0D0D0D"/>
                <w:lang w:eastAsia="en-GB"/>
              </w:rPr>
              <w:t>created by</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D703E" w14:textId="6C79FE76" w:rsidR="00D23E1D" w:rsidRPr="00D23E1D" w:rsidRDefault="004072C1" w:rsidP="00C3400A">
            <w:pPr>
              <w:suppressAutoHyphens/>
              <w:autoSpaceDN w:val="0"/>
              <w:spacing w:before="60" w:after="60" w:line="240" w:lineRule="auto"/>
              <w:ind w:left="57" w:right="57"/>
              <w:jc w:val="center"/>
              <w:textAlignment w:val="baseline"/>
              <w:rPr>
                <w:rFonts w:eastAsia="Times New Roman" w:cstheme="minorHAnsi"/>
                <w:color w:val="0D0D0D"/>
                <w:lang w:eastAsia="en-GB"/>
              </w:rPr>
            </w:pPr>
            <w:r>
              <w:rPr>
                <w:rFonts w:eastAsia="Times New Roman" w:cstheme="minorHAnsi"/>
                <w:color w:val="0D0D0D"/>
                <w:lang w:eastAsia="en-GB"/>
              </w:rPr>
              <w:t>Liz Sturrock</w:t>
            </w:r>
          </w:p>
        </w:tc>
      </w:tr>
      <w:tr w:rsidR="00D23E1D" w:rsidRPr="00D23E1D" w14:paraId="0587C537" w14:textId="77777777" w:rsidTr="49449343">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899C7" w14:textId="77777777" w:rsidR="00D23E1D" w:rsidRPr="00D23E1D" w:rsidRDefault="00061360" w:rsidP="00D23E1D">
            <w:pPr>
              <w:suppressAutoHyphens/>
              <w:autoSpaceDN w:val="0"/>
              <w:spacing w:before="60" w:after="60" w:line="240" w:lineRule="auto"/>
              <w:ind w:left="57" w:right="57"/>
              <w:textAlignment w:val="baseline"/>
              <w:rPr>
                <w:rFonts w:eastAsia="Times New Roman" w:cstheme="minorHAnsi"/>
                <w:color w:val="0D0D0D"/>
                <w:lang w:eastAsia="en-GB"/>
              </w:rPr>
            </w:pPr>
            <w:r>
              <w:rPr>
                <w:rFonts w:eastAsia="Times New Roman" w:cstheme="minorHAnsi"/>
                <w:color w:val="0D0D0D"/>
                <w:lang w:eastAsia="en-GB"/>
              </w:rPr>
              <w:t>Governor L</w:t>
            </w:r>
            <w:r w:rsidR="00D23E1D" w:rsidRPr="00D23E1D">
              <w:rPr>
                <w:rFonts w:eastAsia="Times New Roman" w:cstheme="minorHAnsi"/>
                <w:color w:val="0D0D0D"/>
                <w:lang w:eastAsia="en-GB"/>
              </w:rPr>
              <w:t>ead</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422F" w14:textId="0FE1BCC5" w:rsidR="00D23E1D" w:rsidRPr="00D23E1D" w:rsidRDefault="004072C1" w:rsidP="00C3400A">
            <w:pPr>
              <w:suppressAutoHyphens/>
              <w:autoSpaceDN w:val="0"/>
              <w:spacing w:before="60" w:after="60" w:line="240" w:lineRule="auto"/>
              <w:ind w:left="57" w:right="57"/>
              <w:jc w:val="center"/>
              <w:textAlignment w:val="baseline"/>
              <w:rPr>
                <w:rFonts w:eastAsia="Times New Roman" w:cstheme="minorHAnsi"/>
                <w:color w:val="0D0D0D"/>
                <w:lang w:eastAsia="en-GB"/>
              </w:rPr>
            </w:pPr>
            <w:r>
              <w:rPr>
                <w:rFonts w:eastAsia="Times New Roman" w:cstheme="minorHAnsi"/>
                <w:color w:val="0D0D0D"/>
                <w:lang w:eastAsia="en-GB"/>
              </w:rPr>
              <w:t>Rachel Webb</w:t>
            </w:r>
          </w:p>
        </w:tc>
      </w:tr>
    </w:tbl>
    <w:p w14:paraId="44A5950A" w14:textId="77777777" w:rsidR="00D23E1D" w:rsidRDefault="00D23E1D">
      <w:pPr>
        <w:rPr>
          <w:u w:val="single"/>
        </w:rPr>
      </w:pPr>
    </w:p>
    <w:p w14:paraId="1F53741B" w14:textId="1C6F84A7" w:rsidR="002F799F" w:rsidRPr="007772CC" w:rsidRDefault="002F799F">
      <w:pPr>
        <w:rPr>
          <w:color w:val="FF0000"/>
          <w:sz w:val="28"/>
          <w:szCs w:val="28"/>
        </w:rPr>
      </w:pPr>
      <w:r w:rsidRPr="002F799F">
        <w:rPr>
          <w:b/>
          <w:bCs/>
          <w:sz w:val="28"/>
          <w:szCs w:val="28"/>
          <w:u w:val="single"/>
        </w:rPr>
        <w:t xml:space="preserve">Context </w:t>
      </w:r>
      <w:r>
        <w:rPr>
          <w:b/>
          <w:bCs/>
          <w:sz w:val="28"/>
          <w:szCs w:val="28"/>
          <w:u w:val="single"/>
        </w:rPr>
        <w:t>of the school</w:t>
      </w:r>
      <w:r w:rsidRPr="002F799F">
        <w:rPr>
          <w:b/>
          <w:bCs/>
          <w:sz w:val="28"/>
          <w:szCs w:val="28"/>
          <w:u w:val="single"/>
        </w:rPr>
        <w:t xml:space="preserve"> </w:t>
      </w:r>
      <w:r w:rsidR="002E3AF6">
        <w:rPr>
          <w:b/>
          <w:bCs/>
          <w:sz w:val="28"/>
          <w:szCs w:val="28"/>
          <w:u w:val="single"/>
        </w:rPr>
        <w:t>and rationale for the strategy</w:t>
      </w:r>
      <w:r w:rsidR="007772CC">
        <w:rPr>
          <w:sz w:val="28"/>
          <w:szCs w:val="28"/>
        </w:rPr>
        <w:t xml:space="preserve"> </w:t>
      </w:r>
    </w:p>
    <w:tbl>
      <w:tblPr>
        <w:tblStyle w:val="TableGrid"/>
        <w:tblW w:w="0" w:type="auto"/>
        <w:tblLook w:val="04A0" w:firstRow="1" w:lastRow="0" w:firstColumn="1" w:lastColumn="0" w:noHBand="0" w:noVBand="1"/>
      </w:tblPr>
      <w:tblGrid>
        <w:gridCol w:w="14275"/>
      </w:tblGrid>
      <w:tr w:rsidR="002F799F" w14:paraId="235FFF99" w14:textId="77777777" w:rsidTr="002F799F">
        <w:tc>
          <w:tcPr>
            <w:tcW w:w="14275" w:type="dxa"/>
          </w:tcPr>
          <w:p w14:paraId="5FE305BD" w14:textId="531DE79E" w:rsidR="003D6410" w:rsidRPr="002E3AF6" w:rsidRDefault="00C3400A" w:rsidP="003D6410">
            <w:pPr>
              <w:rPr>
                <w:rFonts w:ascii="Arial" w:hAnsi="Arial" w:cs="Arial"/>
                <w:color w:val="FF0000"/>
              </w:rPr>
            </w:pPr>
            <w:r w:rsidRPr="00C3400A">
              <w:rPr>
                <w:rFonts w:ascii="Arial" w:hAnsi="Arial" w:cs="Arial"/>
                <w:iCs/>
              </w:rPr>
              <w:t>T</w:t>
            </w:r>
            <w:r w:rsidR="00FB77C7" w:rsidRPr="00C3400A">
              <w:rPr>
                <w:rFonts w:ascii="Arial" w:hAnsi="Arial" w:cs="Arial"/>
                <w:iCs/>
              </w:rPr>
              <w:t>he school’s catchment</w:t>
            </w:r>
            <w:r w:rsidRPr="00C3400A">
              <w:rPr>
                <w:rFonts w:ascii="Arial" w:hAnsi="Arial" w:cs="Arial"/>
                <w:iCs/>
              </w:rPr>
              <w:t xml:space="preserve"> is relatively </w:t>
            </w:r>
            <w:r w:rsidR="000E0BFD">
              <w:rPr>
                <w:rFonts w:ascii="Arial" w:hAnsi="Arial" w:cs="Arial"/>
                <w:iCs/>
              </w:rPr>
              <w:t>high</w:t>
            </w:r>
            <w:r w:rsidR="00FB77C7" w:rsidRPr="00C3400A">
              <w:rPr>
                <w:rFonts w:ascii="Arial" w:hAnsi="Arial" w:cs="Arial"/>
                <w:iCs/>
              </w:rPr>
              <w:t xml:space="preserve"> in terms of disadvantage.</w:t>
            </w:r>
            <w:r w:rsidRPr="00C3400A">
              <w:rPr>
                <w:rFonts w:ascii="Arial" w:hAnsi="Arial" w:cs="Arial"/>
                <w:iCs/>
              </w:rPr>
              <w:t xml:space="preserve"> Approximately </w:t>
            </w:r>
            <w:r w:rsidR="006E6811">
              <w:rPr>
                <w:rFonts w:ascii="Arial" w:hAnsi="Arial" w:cs="Arial"/>
                <w:iCs/>
              </w:rPr>
              <w:t>50%</w:t>
            </w:r>
            <w:r w:rsidRPr="00C3400A">
              <w:rPr>
                <w:rFonts w:ascii="Arial" w:hAnsi="Arial" w:cs="Arial"/>
                <w:iCs/>
              </w:rPr>
              <w:t xml:space="preserve"> of pupils engaged with home </w:t>
            </w:r>
            <w:r w:rsidR="002F799F" w:rsidRPr="00C3400A">
              <w:rPr>
                <w:rFonts w:ascii="Arial" w:hAnsi="Arial" w:cs="Arial"/>
                <w:iCs/>
              </w:rPr>
              <w:t xml:space="preserve">learning during the </w:t>
            </w:r>
            <w:r w:rsidR="00642BCD">
              <w:rPr>
                <w:rFonts w:ascii="Arial" w:hAnsi="Arial" w:cs="Arial"/>
                <w:iCs/>
              </w:rPr>
              <w:t>Covid-19 lockdown, although this was variable over time.</w:t>
            </w:r>
            <w:r w:rsidRPr="00C3400A">
              <w:rPr>
                <w:rFonts w:ascii="Arial" w:hAnsi="Arial" w:cs="Arial"/>
                <w:iCs/>
              </w:rPr>
              <w:t xml:space="preserve"> Following </w:t>
            </w:r>
            <w:r w:rsidR="00F04841">
              <w:rPr>
                <w:rFonts w:ascii="Arial" w:hAnsi="Arial" w:cs="Arial"/>
                <w:iCs/>
              </w:rPr>
              <w:t xml:space="preserve">the wider </w:t>
            </w:r>
            <w:r w:rsidRPr="00C3400A">
              <w:rPr>
                <w:rFonts w:ascii="Arial" w:hAnsi="Arial" w:cs="Arial"/>
                <w:iCs/>
              </w:rPr>
              <w:t>reopening</w:t>
            </w:r>
            <w:r w:rsidR="00F04841">
              <w:rPr>
                <w:rFonts w:ascii="Arial" w:hAnsi="Arial" w:cs="Arial"/>
                <w:iCs/>
              </w:rPr>
              <w:t>,</w:t>
            </w:r>
            <w:r w:rsidRPr="00C3400A">
              <w:rPr>
                <w:rFonts w:ascii="Arial" w:hAnsi="Arial" w:cs="Arial"/>
                <w:iCs/>
              </w:rPr>
              <w:t xml:space="preserve"> approximately </w:t>
            </w:r>
            <w:r w:rsidR="0031018E">
              <w:rPr>
                <w:rFonts w:ascii="Arial" w:hAnsi="Arial" w:cs="Arial"/>
                <w:iCs/>
              </w:rPr>
              <w:t>57%</w:t>
            </w:r>
            <w:r w:rsidRPr="00C3400A">
              <w:rPr>
                <w:rFonts w:ascii="Arial" w:hAnsi="Arial" w:cs="Arial"/>
                <w:iCs/>
              </w:rPr>
              <w:t xml:space="preserve"> of </w:t>
            </w:r>
            <w:r w:rsidR="0031018E">
              <w:rPr>
                <w:rFonts w:ascii="Arial" w:hAnsi="Arial" w:cs="Arial"/>
                <w:iCs/>
              </w:rPr>
              <w:t xml:space="preserve">children </w:t>
            </w:r>
            <w:r w:rsidR="009538C2">
              <w:rPr>
                <w:rFonts w:ascii="Arial" w:hAnsi="Arial" w:cs="Arial"/>
                <w:iCs/>
              </w:rPr>
              <w:t xml:space="preserve">in eligible year groups and children of key workers </w:t>
            </w:r>
            <w:r w:rsidRPr="00C3400A">
              <w:rPr>
                <w:rFonts w:ascii="Arial" w:hAnsi="Arial" w:cs="Arial"/>
                <w:iCs/>
              </w:rPr>
              <w:t>attended school from 15</w:t>
            </w:r>
            <w:r w:rsidRPr="00C3400A">
              <w:rPr>
                <w:rFonts w:ascii="Arial" w:hAnsi="Arial" w:cs="Arial"/>
                <w:iCs/>
                <w:vertAlign w:val="superscript"/>
              </w:rPr>
              <w:t>th</w:t>
            </w:r>
            <w:r w:rsidRPr="00C3400A">
              <w:rPr>
                <w:rFonts w:ascii="Arial" w:hAnsi="Arial" w:cs="Arial"/>
                <w:iCs/>
              </w:rPr>
              <w:t xml:space="preserve"> June. </w:t>
            </w:r>
            <w:r w:rsidR="0031018E">
              <w:rPr>
                <w:rFonts w:ascii="Arial" w:hAnsi="Arial" w:cs="Arial"/>
                <w:iCs/>
              </w:rPr>
              <w:t xml:space="preserve">43.75% </w:t>
            </w:r>
            <w:r w:rsidRPr="00C3400A">
              <w:rPr>
                <w:rFonts w:ascii="Arial" w:hAnsi="Arial" w:cs="Arial"/>
                <w:iCs/>
              </w:rPr>
              <w:t xml:space="preserve">entitled disadvantaged pupils </w:t>
            </w:r>
            <w:r w:rsidR="00BC6D55" w:rsidRPr="00C3400A">
              <w:rPr>
                <w:rFonts w:ascii="Arial" w:hAnsi="Arial" w:cs="Arial"/>
                <w:iCs/>
              </w:rPr>
              <w:t>attended school during the summer</w:t>
            </w:r>
            <w:r w:rsidRPr="00C3400A">
              <w:rPr>
                <w:rFonts w:ascii="Arial" w:hAnsi="Arial" w:cs="Arial"/>
                <w:iCs/>
              </w:rPr>
              <w:t xml:space="preserve">. </w:t>
            </w:r>
            <w:r w:rsidR="00884A10">
              <w:rPr>
                <w:rFonts w:ascii="Arial" w:hAnsi="Arial" w:cs="Arial"/>
                <w:iCs/>
              </w:rPr>
              <w:t xml:space="preserve">Attendance since the beginning of September when schools fully reopened has been </w:t>
            </w:r>
            <w:r w:rsidR="00553884">
              <w:rPr>
                <w:rFonts w:ascii="Arial" w:hAnsi="Arial" w:cs="Arial"/>
                <w:iCs/>
              </w:rPr>
              <w:t xml:space="preserve">high (97.22%).  </w:t>
            </w:r>
            <w:r w:rsidRPr="00C3400A">
              <w:rPr>
                <w:rFonts w:ascii="Arial" w:hAnsi="Arial" w:cs="Arial"/>
                <w:iCs/>
              </w:rPr>
              <w:t xml:space="preserve">Teachers are currently undertaking </w:t>
            </w:r>
            <w:r w:rsidR="00BC6D55" w:rsidRPr="00C3400A">
              <w:rPr>
                <w:rFonts w:ascii="Arial" w:hAnsi="Arial" w:cs="Arial"/>
                <w:iCs/>
              </w:rPr>
              <w:t>assessments</w:t>
            </w:r>
            <w:r w:rsidR="00E07511" w:rsidRPr="00C3400A">
              <w:rPr>
                <w:rFonts w:ascii="Arial" w:hAnsi="Arial" w:cs="Arial"/>
                <w:iCs/>
              </w:rPr>
              <w:t xml:space="preserve"> </w:t>
            </w:r>
            <w:r w:rsidRPr="00C3400A">
              <w:rPr>
                <w:rFonts w:ascii="Arial" w:hAnsi="Arial" w:cs="Arial"/>
                <w:iCs/>
              </w:rPr>
              <w:t xml:space="preserve">as children </w:t>
            </w:r>
            <w:r w:rsidR="00BC6D55" w:rsidRPr="00C3400A">
              <w:rPr>
                <w:rFonts w:ascii="Arial" w:hAnsi="Arial" w:cs="Arial"/>
                <w:iCs/>
              </w:rPr>
              <w:t>return to school</w:t>
            </w:r>
            <w:r w:rsidR="002E3AF6" w:rsidRPr="00C3400A">
              <w:rPr>
                <w:rFonts w:ascii="Arial" w:hAnsi="Arial" w:cs="Arial"/>
                <w:iCs/>
              </w:rPr>
              <w:t xml:space="preserve"> </w:t>
            </w:r>
            <w:r w:rsidRPr="00C3400A">
              <w:rPr>
                <w:rFonts w:ascii="Arial" w:hAnsi="Arial" w:cs="Arial"/>
                <w:iCs/>
              </w:rPr>
              <w:t xml:space="preserve">in order to </w:t>
            </w:r>
            <w:r w:rsidR="009538C2">
              <w:rPr>
                <w:rFonts w:ascii="Arial" w:hAnsi="Arial" w:cs="Arial"/>
                <w:iCs/>
              </w:rPr>
              <w:t>ascertain current levels of knowledge and understanding</w:t>
            </w:r>
            <w:r w:rsidRPr="00C3400A">
              <w:rPr>
                <w:rFonts w:ascii="Arial" w:hAnsi="Arial" w:cs="Arial"/>
                <w:iCs/>
              </w:rPr>
              <w:t xml:space="preserve">. </w:t>
            </w:r>
          </w:p>
        </w:tc>
      </w:tr>
    </w:tbl>
    <w:p w14:paraId="27949B7A" w14:textId="2692B11E" w:rsidR="0037565D" w:rsidRDefault="0037565D">
      <w:pPr>
        <w:rPr>
          <w:b/>
          <w:bCs/>
          <w:sz w:val="10"/>
          <w:szCs w:val="10"/>
        </w:rPr>
      </w:pPr>
    </w:p>
    <w:p w14:paraId="64A193AE" w14:textId="25AB5480" w:rsidR="002E3AF6" w:rsidRDefault="002E3AF6">
      <w:pPr>
        <w:rPr>
          <w:b/>
          <w:bCs/>
          <w:sz w:val="10"/>
          <w:szCs w:val="10"/>
        </w:rPr>
      </w:pPr>
    </w:p>
    <w:p w14:paraId="38D5879F" w14:textId="77777777" w:rsidR="002E3AF6" w:rsidRDefault="002E3AF6">
      <w:pPr>
        <w:rPr>
          <w:b/>
          <w:bCs/>
          <w:sz w:val="10"/>
          <w:szCs w:val="10"/>
        </w:rPr>
      </w:pPr>
    </w:p>
    <w:p w14:paraId="0B1D671F" w14:textId="4ECDFAC7" w:rsidR="00BD52DF" w:rsidRDefault="00BD52DF"/>
    <w:p w14:paraId="4F1A7C1C" w14:textId="46181384" w:rsidR="002E3AF6" w:rsidRDefault="002E3AF6"/>
    <w:p w14:paraId="2FFE3F7E" w14:textId="0ABA4540" w:rsidR="002E3AF6" w:rsidRDefault="002E3AF6"/>
    <w:p w14:paraId="26FF6DC9" w14:textId="48E8F9D5" w:rsidR="0030486F" w:rsidRDefault="0030486F"/>
    <w:p w14:paraId="5D1B9390" w14:textId="2534C992" w:rsidR="0030486F" w:rsidRDefault="0030486F"/>
    <w:p w14:paraId="7525A427" w14:textId="40175C43" w:rsidR="00C3400A" w:rsidRDefault="00C3400A"/>
    <w:p w14:paraId="5B3B45FD" w14:textId="0BF8D7F9" w:rsidR="00C3400A" w:rsidRDefault="00C3400A"/>
    <w:p w14:paraId="648235DC" w14:textId="77777777" w:rsidR="00C3400A" w:rsidRDefault="00C3400A"/>
    <w:p w14:paraId="3660C77A" w14:textId="77777777" w:rsidR="0030486F" w:rsidRDefault="0030486F"/>
    <w:p w14:paraId="105EB566" w14:textId="77777777" w:rsidR="002E3AF6" w:rsidRDefault="002E3AF6"/>
    <w:p w14:paraId="0209D4E6" w14:textId="603E4AF2" w:rsidR="00866C83" w:rsidRPr="00FD3A67" w:rsidRDefault="00866C83" w:rsidP="002A735D">
      <w:pPr>
        <w:spacing w:after="0"/>
        <w:rPr>
          <w:color w:val="FF0000"/>
          <w:sz w:val="28"/>
          <w:szCs w:val="28"/>
        </w:rPr>
      </w:pPr>
      <w:r w:rsidRPr="008A1D5F">
        <w:rPr>
          <w:b/>
          <w:bCs/>
          <w:sz w:val="28"/>
          <w:szCs w:val="28"/>
          <w:u w:val="single"/>
        </w:rPr>
        <w:lastRenderedPageBreak/>
        <w:t>Barriers to future attainment</w:t>
      </w:r>
      <w:r w:rsidR="00FD3A67">
        <w:rPr>
          <w:sz w:val="28"/>
          <w:szCs w:val="28"/>
        </w:rPr>
        <w:t xml:space="preserve"> </w:t>
      </w:r>
    </w:p>
    <w:tbl>
      <w:tblPr>
        <w:tblStyle w:val="TableGrid"/>
        <w:tblW w:w="14454" w:type="dxa"/>
        <w:tblInd w:w="5" w:type="dxa"/>
        <w:tblLook w:val="04A0" w:firstRow="1" w:lastRow="0" w:firstColumn="1" w:lastColumn="0" w:noHBand="0" w:noVBand="1"/>
      </w:tblPr>
      <w:tblGrid>
        <w:gridCol w:w="1129"/>
        <w:gridCol w:w="426"/>
        <w:gridCol w:w="5811"/>
        <w:gridCol w:w="7088"/>
      </w:tblGrid>
      <w:tr w:rsidR="00866C83" w14:paraId="378146CC" w14:textId="77777777" w:rsidTr="00C3400A">
        <w:tc>
          <w:tcPr>
            <w:tcW w:w="1555" w:type="dxa"/>
            <w:gridSpan w:val="2"/>
            <w:tcBorders>
              <w:top w:val="nil"/>
              <w:left w:val="nil"/>
            </w:tcBorders>
          </w:tcPr>
          <w:p w14:paraId="4E393DB7" w14:textId="77777777" w:rsidR="00866C83" w:rsidRDefault="00866C83"/>
        </w:tc>
        <w:tc>
          <w:tcPr>
            <w:tcW w:w="5811" w:type="dxa"/>
          </w:tcPr>
          <w:p w14:paraId="05017E3D" w14:textId="77777777" w:rsidR="00866C83" w:rsidRPr="00186830" w:rsidRDefault="00186830">
            <w:pPr>
              <w:rPr>
                <w:b/>
                <w:bCs/>
              </w:rPr>
            </w:pPr>
            <w:r w:rsidRPr="00186830">
              <w:rPr>
                <w:b/>
                <w:bCs/>
              </w:rPr>
              <w:t>Barrier</w:t>
            </w:r>
          </w:p>
        </w:tc>
        <w:tc>
          <w:tcPr>
            <w:tcW w:w="7088" w:type="dxa"/>
          </w:tcPr>
          <w:p w14:paraId="25548BBB" w14:textId="77777777" w:rsidR="00866C83" w:rsidRPr="00186830" w:rsidRDefault="00186830">
            <w:pPr>
              <w:rPr>
                <w:b/>
                <w:bCs/>
              </w:rPr>
            </w:pPr>
            <w:r w:rsidRPr="00186830">
              <w:rPr>
                <w:b/>
                <w:bCs/>
              </w:rPr>
              <w:t>Desired outcome</w:t>
            </w:r>
          </w:p>
        </w:tc>
      </w:tr>
      <w:tr w:rsidR="00C50CC3" w14:paraId="60C0E223" w14:textId="77777777" w:rsidTr="00C3400A">
        <w:trPr>
          <w:trHeight w:val="357"/>
        </w:trPr>
        <w:tc>
          <w:tcPr>
            <w:tcW w:w="1129" w:type="dxa"/>
            <w:vMerge w:val="restart"/>
            <w:shd w:val="clear" w:color="auto" w:fill="DEEAF6" w:themeFill="accent5" w:themeFillTint="33"/>
            <w:textDirection w:val="btLr"/>
          </w:tcPr>
          <w:p w14:paraId="7585CCFC" w14:textId="50CE1C61" w:rsidR="00C50CC3" w:rsidRPr="00186830" w:rsidRDefault="00C50CC3" w:rsidP="0037565D">
            <w:pPr>
              <w:ind w:left="113" w:right="113"/>
              <w:jc w:val="center"/>
              <w:rPr>
                <w:b/>
                <w:bCs/>
              </w:rPr>
            </w:pPr>
            <w:r>
              <w:rPr>
                <w:b/>
                <w:bCs/>
              </w:rPr>
              <w:t>Teaching priorities</w:t>
            </w:r>
          </w:p>
        </w:tc>
        <w:tc>
          <w:tcPr>
            <w:tcW w:w="426" w:type="dxa"/>
            <w:shd w:val="clear" w:color="auto" w:fill="DEEAF6" w:themeFill="accent5" w:themeFillTint="33"/>
          </w:tcPr>
          <w:p w14:paraId="2915C753" w14:textId="77777777" w:rsidR="00C50CC3" w:rsidRPr="00186830" w:rsidRDefault="00C50CC3">
            <w:pPr>
              <w:rPr>
                <w:b/>
                <w:bCs/>
              </w:rPr>
            </w:pPr>
            <w:r w:rsidRPr="00186830">
              <w:rPr>
                <w:b/>
                <w:bCs/>
              </w:rPr>
              <w:t>A</w:t>
            </w:r>
          </w:p>
        </w:tc>
        <w:tc>
          <w:tcPr>
            <w:tcW w:w="5811" w:type="dxa"/>
          </w:tcPr>
          <w:p w14:paraId="438C84A8" w14:textId="5DF247BB" w:rsidR="00C50CC3" w:rsidRPr="00FD3A67" w:rsidRDefault="0030097D">
            <w:pPr>
              <w:rPr>
                <w:color w:val="4472C4" w:themeColor="accent1"/>
              </w:rPr>
            </w:pPr>
            <w:r w:rsidRPr="00FD3A67">
              <w:rPr>
                <w:color w:val="4472C4" w:themeColor="accent1"/>
              </w:rPr>
              <w:t>Staff require CPD to develop a greater understanding of children</w:t>
            </w:r>
            <w:r w:rsidR="00C3400A">
              <w:rPr>
                <w:color w:val="4472C4" w:themeColor="accent1"/>
              </w:rPr>
              <w:t>’</w:t>
            </w:r>
            <w:r w:rsidRPr="00FD3A67">
              <w:rPr>
                <w:color w:val="4472C4" w:themeColor="accent1"/>
              </w:rPr>
              <w:t xml:space="preserve">s </w:t>
            </w:r>
            <w:r w:rsidR="000141B1">
              <w:rPr>
                <w:color w:val="4472C4" w:themeColor="accent1"/>
              </w:rPr>
              <w:t xml:space="preserve">emotional wellbeing and </w:t>
            </w:r>
            <w:r w:rsidRPr="00FD3A67">
              <w:rPr>
                <w:color w:val="4472C4" w:themeColor="accent1"/>
              </w:rPr>
              <w:t xml:space="preserve">mental health needs. </w:t>
            </w:r>
          </w:p>
        </w:tc>
        <w:tc>
          <w:tcPr>
            <w:tcW w:w="7088" w:type="dxa"/>
          </w:tcPr>
          <w:p w14:paraId="00CA0224" w14:textId="629BD2D0" w:rsidR="00852940" w:rsidRPr="00FD3A67" w:rsidRDefault="0030097D">
            <w:pPr>
              <w:rPr>
                <w:color w:val="4472C4" w:themeColor="accent1"/>
              </w:rPr>
            </w:pPr>
            <w:r w:rsidRPr="00FD3A67">
              <w:rPr>
                <w:color w:val="4472C4" w:themeColor="accent1"/>
              </w:rPr>
              <w:t xml:space="preserve">Staff are better informed and have greater clarity about how to support </w:t>
            </w:r>
            <w:r w:rsidR="003673E0">
              <w:rPr>
                <w:color w:val="4472C4" w:themeColor="accent1"/>
              </w:rPr>
              <w:t>further support</w:t>
            </w:r>
            <w:r w:rsidR="004E6847">
              <w:rPr>
                <w:color w:val="4472C4" w:themeColor="accent1"/>
              </w:rPr>
              <w:t xml:space="preserve"> </w:t>
            </w:r>
            <w:r w:rsidRPr="00FD3A67">
              <w:rPr>
                <w:color w:val="4472C4" w:themeColor="accent1"/>
              </w:rPr>
              <w:t xml:space="preserve">children with </w:t>
            </w:r>
            <w:r w:rsidR="004E6847">
              <w:rPr>
                <w:color w:val="4472C4" w:themeColor="accent1"/>
              </w:rPr>
              <w:t xml:space="preserve">emotional wellbeing and </w:t>
            </w:r>
            <w:r w:rsidRPr="00FD3A67">
              <w:rPr>
                <w:color w:val="4472C4" w:themeColor="accent1"/>
              </w:rPr>
              <w:t xml:space="preserve">mental health needs. </w:t>
            </w:r>
            <w:r w:rsidR="004E6847">
              <w:rPr>
                <w:color w:val="4472C4" w:themeColor="accent1"/>
              </w:rPr>
              <w:t>T</w:t>
            </w:r>
            <w:r w:rsidRPr="00FD3A67">
              <w:rPr>
                <w:color w:val="4472C4" w:themeColor="accent1"/>
              </w:rPr>
              <w:t>his is a focus of daily/ weekly teac</w:t>
            </w:r>
            <w:r w:rsidR="00B12C06">
              <w:rPr>
                <w:color w:val="4472C4" w:themeColor="accent1"/>
              </w:rPr>
              <w:t>h</w:t>
            </w:r>
            <w:r w:rsidRPr="00FD3A67">
              <w:rPr>
                <w:color w:val="4472C4" w:themeColor="accent1"/>
              </w:rPr>
              <w:t>ing in the autumn term.</w:t>
            </w:r>
          </w:p>
        </w:tc>
      </w:tr>
      <w:tr w:rsidR="00C50CC3" w14:paraId="00B57608" w14:textId="77777777" w:rsidTr="00C3400A">
        <w:trPr>
          <w:trHeight w:val="357"/>
        </w:trPr>
        <w:tc>
          <w:tcPr>
            <w:tcW w:w="1129" w:type="dxa"/>
            <w:vMerge/>
            <w:shd w:val="clear" w:color="auto" w:fill="DEEAF6" w:themeFill="accent5" w:themeFillTint="33"/>
            <w:textDirection w:val="btLr"/>
          </w:tcPr>
          <w:p w14:paraId="62B0485B" w14:textId="77777777" w:rsidR="00C50CC3" w:rsidRPr="00186830" w:rsidRDefault="00C50CC3" w:rsidP="00186830">
            <w:pPr>
              <w:ind w:left="113" w:right="113"/>
              <w:rPr>
                <w:b/>
                <w:bCs/>
              </w:rPr>
            </w:pPr>
          </w:p>
        </w:tc>
        <w:tc>
          <w:tcPr>
            <w:tcW w:w="426" w:type="dxa"/>
            <w:shd w:val="clear" w:color="auto" w:fill="DEEAF6" w:themeFill="accent5" w:themeFillTint="33"/>
          </w:tcPr>
          <w:p w14:paraId="1FD4C917" w14:textId="77777777" w:rsidR="00C50CC3" w:rsidRPr="00186830" w:rsidRDefault="00C50CC3">
            <w:pPr>
              <w:rPr>
                <w:b/>
                <w:bCs/>
              </w:rPr>
            </w:pPr>
            <w:r w:rsidRPr="00186830">
              <w:rPr>
                <w:b/>
                <w:bCs/>
              </w:rPr>
              <w:t>B</w:t>
            </w:r>
          </w:p>
        </w:tc>
        <w:tc>
          <w:tcPr>
            <w:tcW w:w="5811" w:type="dxa"/>
          </w:tcPr>
          <w:p w14:paraId="41333EC3" w14:textId="180FAFCC" w:rsidR="00C50CC3" w:rsidRPr="00FD3A67" w:rsidRDefault="0030097D">
            <w:pPr>
              <w:rPr>
                <w:color w:val="4472C4" w:themeColor="accent1"/>
              </w:rPr>
            </w:pPr>
            <w:r w:rsidRPr="00FD3A67">
              <w:rPr>
                <w:color w:val="4472C4" w:themeColor="accent1"/>
              </w:rPr>
              <w:t xml:space="preserve">Home learning </w:t>
            </w:r>
            <w:r w:rsidR="00C3400A">
              <w:rPr>
                <w:color w:val="4472C4" w:themeColor="accent1"/>
              </w:rPr>
              <w:t xml:space="preserve">requires further refinement and </w:t>
            </w:r>
            <w:r w:rsidR="00D473BD" w:rsidRPr="00FD3A67">
              <w:rPr>
                <w:color w:val="4472C4" w:themeColor="accent1"/>
              </w:rPr>
              <w:t>develop</w:t>
            </w:r>
            <w:r w:rsidR="00C3400A">
              <w:rPr>
                <w:color w:val="4472C4" w:themeColor="accent1"/>
              </w:rPr>
              <w:t>ment</w:t>
            </w:r>
            <w:r w:rsidR="00D473BD" w:rsidRPr="00FD3A67">
              <w:rPr>
                <w:color w:val="4472C4" w:themeColor="accent1"/>
              </w:rPr>
              <w:t xml:space="preserve"> </w:t>
            </w:r>
            <w:r w:rsidR="00C3400A">
              <w:rPr>
                <w:color w:val="4472C4" w:themeColor="accent1"/>
              </w:rPr>
              <w:t xml:space="preserve">in order </w:t>
            </w:r>
            <w:r w:rsidR="00D473BD" w:rsidRPr="00FD3A67">
              <w:rPr>
                <w:color w:val="4472C4" w:themeColor="accent1"/>
              </w:rPr>
              <w:t xml:space="preserve">to improve access to learning at home for all pupils. </w:t>
            </w:r>
          </w:p>
        </w:tc>
        <w:tc>
          <w:tcPr>
            <w:tcW w:w="7088" w:type="dxa"/>
          </w:tcPr>
          <w:p w14:paraId="65FB9CA6" w14:textId="7E284A61" w:rsidR="00C50CC3" w:rsidRPr="00FD3A67" w:rsidRDefault="00D473BD">
            <w:pPr>
              <w:rPr>
                <w:color w:val="4472C4" w:themeColor="accent1"/>
              </w:rPr>
            </w:pPr>
            <w:r w:rsidRPr="00FD3A67">
              <w:rPr>
                <w:color w:val="4472C4" w:themeColor="accent1"/>
              </w:rPr>
              <w:t xml:space="preserve">A strong remote learning offer is in place. </w:t>
            </w:r>
            <w:r w:rsidR="00B12C06">
              <w:rPr>
                <w:color w:val="4472C4" w:themeColor="accent1"/>
              </w:rPr>
              <w:t>A</w:t>
            </w:r>
            <w:r w:rsidR="0030097D" w:rsidRPr="00FD3A67">
              <w:rPr>
                <w:color w:val="4472C4" w:themeColor="accent1"/>
              </w:rPr>
              <w:t>ll staff</w:t>
            </w:r>
            <w:r w:rsidRPr="00FD3A67">
              <w:rPr>
                <w:color w:val="4472C4" w:themeColor="accent1"/>
              </w:rPr>
              <w:t xml:space="preserve"> are trained </w:t>
            </w:r>
            <w:r w:rsidR="008A49DF">
              <w:rPr>
                <w:color w:val="4472C4" w:themeColor="accent1"/>
              </w:rPr>
              <w:t>further in its use</w:t>
            </w:r>
            <w:r w:rsidRPr="00FD3A67">
              <w:rPr>
                <w:color w:val="4472C4" w:themeColor="accent1"/>
              </w:rPr>
              <w:t>. Weekly homework activities are uploaded and feedback to pupils given accordingly.</w:t>
            </w:r>
            <w:r w:rsidR="00C3400A">
              <w:rPr>
                <w:color w:val="4472C4" w:themeColor="accent1"/>
              </w:rPr>
              <w:t xml:space="preserve"> Additional resources are acquired. </w:t>
            </w:r>
          </w:p>
        </w:tc>
      </w:tr>
      <w:tr w:rsidR="008A49DF" w14:paraId="4CC89C20" w14:textId="77777777" w:rsidTr="00C3400A">
        <w:trPr>
          <w:cantSplit/>
          <w:trHeight w:val="357"/>
        </w:trPr>
        <w:tc>
          <w:tcPr>
            <w:tcW w:w="1129" w:type="dxa"/>
            <w:vMerge w:val="restart"/>
            <w:tcBorders>
              <w:top w:val="double" w:sz="4" w:space="0" w:color="auto"/>
            </w:tcBorders>
            <w:shd w:val="clear" w:color="auto" w:fill="FFF2CC" w:themeFill="accent4" w:themeFillTint="33"/>
            <w:textDirection w:val="btLr"/>
          </w:tcPr>
          <w:p w14:paraId="54DE96DE" w14:textId="77777777" w:rsidR="008A49DF" w:rsidRPr="00186830" w:rsidRDefault="008A49DF" w:rsidP="00186830">
            <w:pPr>
              <w:ind w:left="113" w:right="113"/>
              <w:rPr>
                <w:b/>
                <w:bCs/>
              </w:rPr>
            </w:pPr>
            <w:r>
              <w:rPr>
                <w:b/>
                <w:bCs/>
              </w:rPr>
              <w:t>Targeted academic support</w:t>
            </w:r>
          </w:p>
          <w:p w14:paraId="138C21B4" w14:textId="61F4B678" w:rsidR="008A49DF" w:rsidRPr="00186830" w:rsidRDefault="008A49DF" w:rsidP="00186830">
            <w:pPr>
              <w:ind w:left="113" w:right="113"/>
              <w:rPr>
                <w:b/>
                <w:bCs/>
              </w:rPr>
            </w:pPr>
          </w:p>
        </w:tc>
        <w:tc>
          <w:tcPr>
            <w:tcW w:w="426" w:type="dxa"/>
            <w:tcBorders>
              <w:top w:val="double" w:sz="4" w:space="0" w:color="auto"/>
            </w:tcBorders>
            <w:shd w:val="clear" w:color="auto" w:fill="FFF2CC" w:themeFill="accent4" w:themeFillTint="33"/>
          </w:tcPr>
          <w:p w14:paraId="01F5C48C" w14:textId="4FED3E3D" w:rsidR="008A49DF" w:rsidRPr="00186830" w:rsidRDefault="008A49DF">
            <w:pPr>
              <w:rPr>
                <w:b/>
                <w:bCs/>
              </w:rPr>
            </w:pPr>
            <w:r>
              <w:rPr>
                <w:b/>
                <w:bCs/>
              </w:rPr>
              <w:t>C</w:t>
            </w:r>
          </w:p>
        </w:tc>
        <w:tc>
          <w:tcPr>
            <w:tcW w:w="5811" w:type="dxa"/>
            <w:tcBorders>
              <w:top w:val="double" w:sz="4" w:space="0" w:color="auto"/>
            </w:tcBorders>
          </w:tcPr>
          <w:p w14:paraId="4C81CD48" w14:textId="76F9CAA8" w:rsidR="008A49DF" w:rsidRPr="00FD3A67" w:rsidRDefault="008A49DF">
            <w:pPr>
              <w:rPr>
                <w:color w:val="4472C4" w:themeColor="accent1"/>
              </w:rPr>
            </w:pPr>
            <w:r>
              <w:rPr>
                <w:color w:val="4472C4" w:themeColor="accent1"/>
              </w:rPr>
              <w:t xml:space="preserve">Although </w:t>
            </w:r>
            <w:r w:rsidRPr="00FD3A67">
              <w:rPr>
                <w:color w:val="4472C4" w:themeColor="accent1"/>
              </w:rPr>
              <w:t xml:space="preserve">online learning materials provided for </w:t>
            </w:r>
            <w:r>
              <w:rPr>
                <w:color w:val="4472C4" w:themeColor="accent1"/>
              </w:rPr>
              <w:t xml:space="preserve">Reading </w:t>
            </w:r>
            <w:r w:rsidRPr="00FD3A67">
              <w:rPr>
                <w:color w:val="4472C4" w:themeColor="accent1"/>
              </w:rPr>
              <w:t>during the summer term</w:t>
            </w:r>
            <w:r>
              <w:rPr>
                <w:color w:val="4472C4" w:themeColor="accent1"/>
              </w:rPr>
              <w:t xml:space="preserve"> were accessed by the majority of pupils, baseline assessments indicate some learning loss and gaps in knowledge.</w:t>
            </w:r>
            <w:r w:rsidRPr="00FD3A67">
              <w:rPr>
                <w:color w:val="4472C4" w:themeColor="accent1"/>
              </w:rPr>
              <w:t xml:space="preserve"> This has resulted in some pupils </w:t>
            </w:r>
            <w:r>
              <w:rPr>
                <w:color w:val="4472C4" w:themeColor="accent1"/>
              </w:rPr>
              <w:t xml:space="preserve">in each class </w:t>
            </w:r>
            <w:r w:rsidRPr="00FD3A67">
              <w:rPr>
                <w:color w:val="4472C4" w:themeColor="accent1"/>
              </w:rPr>
              <w:t>working well below ARE.</w:t>
            </w:r>
          </w:p>
        </w:tc>
        <w:tc>
          <w:tcPr>
            <w:tcW w:w="7088" w:type="dxa"/>
            <w:tcBorders>
              <w:top w:val="double" w:sz="4" w:space="0" w:color="auto"/>
            </w:tcBorders>
          </w:tcPr>
          <w:p w14:paraId="2AAD1342" w14:textId="1EFB21A8" w:rsidR="008A49DF" w:rsidRPr="00FD3A67" w:rsidRDefault="008A49DF" w:rsidP="008A49DF">
            <w:pPr>
              <w:rPr>
                <w:color w:val="4472C4" w:themeColor="accent1"/>
              </w:rPr>
            </w:pPr>
            <w:r w:rsidRPr="00FD3A67">
              <w:rPr>
                <w:color w:val="4472C4" w:themeColor="accent1"/>
              </w:rPr>
              <w:t xml:space="preserve">Pupils make accelerated progress in </w:t>
            </w:r>
            <w:r>
              <w:rPr>
                <w:color w:val="4472C4" w:themeColor="accent1"/>
              </w:rPr>
              <w:t>reading</w:t>
            </w:r>
            <w:r w:rsidRPr="00FD3A67">
              <w:rPr>
                <w:color w:val="4472C4" w:themeColor="accent1"/>
              </w:rPr>
              <w:t xml:space="preserve"> from their starting points at the beginning of the </w:t>
            </w:r>
            <w:r>
              <w:rPr>
                <w:color w:val="4472C4" w:themeColor="accent1"/>
              </w:rPr>
              <w:t>A</w:t>
            </w:r>
            <w:r w:rsidRPr="00FD3A67">
              <w:rPr>
                <w:color w:val="4472C4" w:themeColor="accent1"/>
              </w:rPr>
              <w:t>utumn term.</w:t>
            </w:r>
          </w:p>
        </w:tc>
      </w:tr>
      <w:tr w:rsidR="008A49DF" w14:paraId="14DDB559" w14:textId="77777777" w:rsidTr="00C3400A">
        <w:trPr>
          <w:cantSplit/>
          <w:trHeight w:val="357"/>
        </w:trPr>
        <w:tc>
          <w:tcPr>
            <w:tcW w:w="1129" w:type="dxa"/>
            <w:vMerge/>
            <w:shd w:val="clear" w:color="auto" w:fill="FFF2CC" w:themeFill="accent4" w:themeFillTint="33"/>
            <w:textDirection w:val="btLr"/>
          </w:tcPr>
          <w:p w14:paraId="471A4699" w14:textId="7647C5B3" w:rsidR="008A49DF" w:rsidRDefault="008A49DF" w:rsidP="00186830">
            <w:pPr>
              <w:ind w:left="113" w:right="113"/>
            </w:pPr>
          </w:p>
        </w:tc>
        <w:tc>
          <w:tcPr>
            <w:tcW w:w="426" w:type="dxa"/>
            <w:shd w:val="clear" w:color="auto" w:fill="FFF2CC" w:themeFill="accent4" w:themeFillTint="33"/>
          </w:tcPr>
          <w:p w14:paraId="561346A7" w14:textId="62A9A490" w:rsidR="008A49DF" w:rsidRPr="00186830" w:rsidRDefault="008A49DF" w:rsidP="00186830">
            <w:pPr>
              <w:rPr>
                <w:b/>
                <w:bCs/>
              </w:rPr>
            </w:pPr>
            <w:r>
              <w:rPr>
                <w:b/>
                <w:bCs/>
              </w:rPr>
              <w:t>D</w:t>
            </w:r>
          </w:p>
        </w:tc>
        <w:tc>
          <w:tcPr>
            <w:tcW w:w="5811" w:type="dxa"/>
          </w:tcPr>
          <w:p w14:paraId="3C8A6429" w14:textId="0EAA360F" w:rsidR="008A49DF" w:rsidRPr="00FD3A67" w:rsidRDefault="008A49DF">
            <w:pPr>
              <w:rPr>
                <w:color w:val="4472C4" w:themeColor="accent1"/>
              </w:rPr>
            </w:pPr>
            <w:r w:rsidRPr="00FD3A67">
              <w:rPr>
                <w:color w:val="4472C4" w:themeColor="accent1"/>
              </w:rPr>
              <w:t xml:space="preserve">Some pupils had limited access to </w:t>
            </w:r>
            <w:r>
              <w:rPr>
                <w:color w:val="4472C4" w:themeColor="accent1"/>
              </w:rPr>
              <w:t xml:space="preserve">maths </w:t>
            </w:r>
            <w:r w:rsidRPr="00FD3A67">
              <w:rPr>
                <w:color w:val="4472C4" w:themeColor="accent1"/>
              </w:rPr>
              <w:t>materials</w:t>
            </w:r>
            <w:r>
              <w:rPr>
                <w:color w:val="4472C4" w:themeColor="accent1"/>
              </w:rPr>
              <w:t>/teaching</w:t>
            </w:r>
            <w:r w:rsidRPr="00FD3A67">
              <w:rPr>
                <w:color w:val="4472C4" w:themeColor="accent1"/>
              </w:rPr>
              <w:t xml:space="preserve"> during the summer term and therefore, their </w:t>
            </w:r>
            <w:r>
              <w:rPr>
                <w:color w:val="4472C4" w:themeColor="accent1"/>
              </w:rPr>
              <w:t>maths</w:t>
            </w:r>
            <w:r w:rsidRPr="00FD3A67">
              <w:rPr>
                <w:color w:val="4472C4" w:themeColor="accent1"/>
              </w:rPr>
              <w:t xml:space="preserve"> </w:t>
            </w:r>
            <w:r>
              <w:rPr>
                <w:color w:val="4472C4" w:themeColor="accent1"/>
              </w:rPr>
              <w:t xml:space="preserve">attainment is </w:t>
            </w:r>
            <w:r w:rsidRPr="00FD3A67">
              <w:rPr>
                <w:color w:val="4472C4" w:themeColor="accent1"/>
              </w:rPr>
              <w:t>lower than expected</w:t>
            </w:r>
            <w:r>
              <w:rPr>
                <w:color w:val="4472C4" w:themeColor="accent1"/>
              </w:rPr>
              <w:t xml:space="preserve"> in terms of ARE</w:t>
            </w:r>
            <w:r w:rsidRPr="00FD3A67">
              <w:rPr>
                <w:color w:val="4472C4" w:themeColor="accent1"/>
              </w:rPr>
              <w:t>.</w:t>
            </w:r>
          </w:p>
        </w:tc>
        <w:tc>
          <w:tcPr>
            <w:tcW w:w="7088" w:type="dxa"/>
          </w:tcPr>
          <w:p w14:paraId="24315D86" w14:textId="0F4C4BE4" w:rsidR="008A49DF" w:rsidRPr="00FD3A67" w:rsidRDefault="008A49DF" w:rsidP="008A49DF">
            <w:pPr>
              <w:rPr>
                <w:color w:val="4472C4" w:themeColor="accent1"/>
              </w:rPr>
            </w:pPr>
            <w:r>
              <w:rPr>
                <w:color w:val="4472C4" w:themeColor="accent1"/>
              </w:rPr>
              <w:t>Mathematical</w:t>
            </w:r>
            <w:r w:rsidRPr="00FD3A67">
              <w:rPr>
                <w:color w:val="4472C4" w:themeColor="accent1"/>
              </w:rPr>
              <w:t xml:space="preserve"> skills are much improved and rapid progress </w:t>
            </w:r>
            <w:r>
              <w:rPr>
                <w:color w:val="4472C4" w:themeColor="accent1"/>
              </w:rPr>
              <w:t>is demonstrated from their Autumn starting points.</w:t>
            </w:r>
          </w:p>
        </w:tc>
      </w:tr>
      <w:tr w:rsidR="008A49DF" w14:paraId="793DC790" w14:textId="77777777" w:rsidTr="00C3400A">
        <w:trPr>
          <w:cantSplit/>
          <w:trHeight w:val="357"/>
        </w:trPr>
        <w:tc>
          <w:tcPr>
            <w:tcW w:w="1129" w:type="dxa"/>
            <w:vMerge/>
            <w:shd w:val="clear" w:color="auto" w:fill="FFF2CC" w:themeFill="accent4" w:themeFillTint="33"/>
            <w:textDirection w:val="btLr"/>
          </w:tcPr>
          <w:p w14:paraId="5100C79D" w14:textId="2597DB0D" w:rsidR="008A49DF" w:rsidRDefault="008A49DF" w:rsidP="00186830">
            <w:pPr>
              <w:ind w:left="113" w:right="113"/>
            </w:pPr>
          </w:p>
        </w:tc>
        <w:tc>
          <w:tcPr>
            <w:tcW w:w="426" w:type="dxa"/>
            <w:shd w:val="clear" w:color="auto" w:fill="FFF2CC" w:themeFill="accent4" w:themeFillTint="33"/>
          </w:tcPr>
          <w:p w14:paraId="25F6A62E" w14:textId="4C3D818E" w:rsidR="008A49DF" w:rsidRDefault="008A49DF" w:rsidP="00186830">
            <w:pPr>
              <w:rPr>
                <w:b/>
                <w:bCs/>
              </w:rPr>
            </w:pPr>
            <w:r>
              <w:rPr>
                <w:b/>
                <w:bCs/>
              </w:rPr>
              <w:t>E</w:t>
            </w:r>
          </w:p>
        </w:tc>
        <w:tc>
          <w:tcPr>
            <w:tcW w:w="5811" w:type="dxa"/>
          </w:tcPr>
          <w:p w14:paraId="02520BE1" w14:textId="55933DF3" w:rsidR="008A49DF" w:rsidRPr="00FD3A67" w:rsidRDefault="008A49DF">
            <w:pPr>
              <w:rPr>
                <w:color w:val="4472C4" w:themeColor="accent1"/>
              </w:rPr>
            </w:pPr>
            <w:r>
              <w:rPr>
                <w:color w:val="4472C4" w:themeColor="accent1"/>
              </w:rPr>
              <w:t>Some children did not access much home learning and as a result are working below ARE in writing.</w:t>
            </w:r>
          </w:p>
        </w:tc>
        <w:tc>
          <w:tcPr>
            <w:tcW w:w="7088" w:type="dxa"/>
          </w:tcPr>
          <w:p w14:paraId="209E7010" w14:textId="0D198F5D" w:rsidR="008A49DF" w:rsidRDefault="008A49DF">
            <w:pPr>
              <w:rPr>
                <w:color w:val="4472C4" w:themeColor="accent1"/>
              </w:rPr>
            </w:pPr>
            <w:r>
              <w:rPr>
                <w:color w:val="4472C4" w:themeColor="accent1"/>
              </w:rPr>
              <w:t>Pupils make rapid progress from their starting points at the beginning of the Autumn term.</w:t>
            </w:r>
          </w:p>
        </w:tc>
      </w:tr>
      <w:tr w:rsidR="0027285F" w14:paraId="75027A5C" w14:textId="77777777" w:rsidTr="004E3EAC">
        <w:trPr>
          <w:cantSplit/>
          <w:trHeight w:val="1588"/>
        </w:trPr>
        <w:tc>
          <w:tcPr>
            <w:tcW w:w="1129" w:type="dxa"/>
            <w:shd w:val="clear" w:color="auto" w:fill="E2EFD9" w:themeFill="accent6" w:themeFillTint="33"/>
            <w:textDirection w:val="btLr"/>
          </w:tcPr>
          <w:p w14:paraId="2B9BA9A6" w14:textId="77777777" w:rsidR="0027285F" w:rsidRPr="006866D4" w:rsidRDefault="0027285F" w:rsidP="0027285F">
            <w:pPr>
              <w:ind w:left="113" w:right="113"/>
              <w:jc w:val="center"/>
              <w:rPr>
                <w:b/>
                <w:bCs/>
              </w:rPr>
            </w:pPr>
            <w:r w:rsidRPr="006866D4">
              <w:rPr>
                <w:b/>
                <w:bCs/>
              </w:rPr>
              <w:t>Wider</w:t>
            </w:r>
            <w:r>
              <w:rPr>
                <w:b/>
                <w:bCs/>
              </w:rPr>
              <w:t xml:space="preserve">  Strategies</w:t>
            </w:r>
          </w:p>
        </w:tc>
        <w:tc>
          <w:tcPr>
            <w:tcW w:w="426" w:type="dxa"/>
            <w:shd w:val="clear" w:color="auto" w:fill="E2EFD9" w:themeFill="accent6" w:themeFillTint="33"/>
          </w:tcPr>
          <w:p w14:paraId="0DC7FFC1" w14:textId="11A3D791" w:rsidR="0027285F" w:rsidRPr="00186830" w:rsidRDefault="008A49DF" w:rsidP="0027285F">
            <w:pPr>
              <w:rPr>
                <w:b/>
                <w:bCs/>
              </w:rPr>
            </w:pPr>
            <w:r>
              <w:rPr>
                <w:b/>
                <w:bCs/>
              </w:rPr>
              <w:t>F</w:t>
            </w:r>
          </w:p>
        </w:tc>
        <w:tc>
          <w:tcPr>
            <w:tcW w:w="5811" w:type="dxa"/>
          </w:tcPr>
          <w:p w14:paraId="4CAB364D" w14:textId="6D7C245F" w:rsidR="0027285F" w:rsidRPr="00FD3A67" w:rsidRDefault="00C03629" w:rsidP="0027285F">
            <w:pPr>
              <w:rPr>
                <w:color w:val="4472C4" w:themeColor="accent1"/>
              </w:rPr>
            </w:pPr>
            <w:r>
              <w:rPr>
                <w:color w:val="4472C4" w:themeColor="accent1"/>
              </w:rPr>
              <w:t xml:space="preserve">A small minority of </w:t>
            </w:r>
            <w:r w:rsidR="0027285F" w:rsidRPr="00FD3A67">
              <w:rPr>
                <w:color w:val="4472C4" w:themeColor="accent1"/>
              </w:rPr>
              <w:t>pupils are struggling to settle back into class</w:t>
            </w:r>
            <w:r w:rsidR="00B74AF2">
              <w:rPr>
                <w:color w:val="4472C4" w:themeColor="accent1"/>
              </w:rPr>
              <w:t xml:space="preserve"> and school</w:t>
            </w:r>
            <w:r w:rsidR="0027285F" w:rsidRPr="00FD3A67">
              <w:rPr>
                <w:color w:val="4472C4" w:themeColor="accent1"/>
              </w:rPr>
              <w:t xml:space="preserve"> routines and have a limited attention span</w:t>
            </w:r>
            <w:r w:rsidR="00D473BD" w:rsidRPr="00FD3A67">
              <w:rPr>
                <w:color w:val="4472C4" w:themeColor="accent1"/>
              </w:rPr>
              <w:t xml:space="preserve"> linked </w:t>
            </w:r>
            <w:r w:rsidR="009254E2" w:rsidRPr="00FD3A67">
              <w:rPr>
                <w:color w:val="4472C4" w:themeColor="accent1"/>
              </w:rPr>
              <w:t xml:space="preserve">to </w:t>
            </w:r>
            <w:r w:rsidR="007772CC" w:rsidRPr="00FD3A67">
              <w:rPr>
                <w:color w:val="4472C4" w:themeColor="accent1"/>
              </w:rPr>
              <w:t>difficulties experienced due to COVID 19 and lack of structured learning experiences since March 2020.</w:t>
            </w:r>
          </w:p>
        </w:tc>
        <w:tc>
          <w:tcPr>
            <w:tcW w:w="7088" w:type="dxa"/>
          </w:tcPr>
          <w:p w14:paraId="5F4F01BC" w14:textId="3810C4F0" w:rsidR="0027285F" w:rsidRPr="00FD3A67" w:rsidRDefault="0027285F" w:rsidP="0027285F">
            <w:pPr>
              <w:rPr>
                <w:color w:val="4472C4" w:themeColor="accent1"/>
              </w:rPr>
            </w:pPr>
            <w:r w:rsidRPr="00FD3A67">
              <w:rPr>
                <w:color w:val="4472C4" w:themeColor="accent1"/>
              </w:rPr>
              <w:t>All pupils are able to focus</w:t>
            </w:r>
            <w:r w:rsidR="0030097D" w:rsidRPr="00FD3A67">
              <w:rPr>
                <w:color w:val="4472C4" w:themeColor="accent1"/>
              </w:rPr>
              <w:t xml:space="preserve"> on their learning</w:t>
            </w:r>
            <w:r w:rsidRPr="00FD3A67">
              <w:rPr>
                <w:color w:val="4472C4" w:themeColor="accent1"/>
              </w:rPr>
              <w:t xml:space="preserve"> </w:t>
            </w:r>
            <w:r w:rsidR="0030097D" w:rsidRPr="00FD3A67">
              <w:rPr>
                <w:color w:val="4472C4" w:themeColor="accent1"/>
              </w:rPr>
              <w:t>during</w:t>
            </w:r>
            <w:r w:rsidRPr="00FD3A67">
              <w:rPr>
                <w:color w:val="4472C4" w:themeColor="accent1"/>
              </w:rPr>
              <w:t xml:space="preserve"> lessons</w:t>
            </w:r>
            <w:r w:rsidR="0030097D" w:rsidRPr="00FD3A67">
              <w:rPr>
                <w:color w:val="4472C4" w:themeColor="accent1"/>
              </w:rPr>
              <w:t>.</w:t>
            </w:r>
            <w:r w:rsidR="00C03629">
              <w:rPr>
                <w:color w:val="4472C4" w:themeColor="accent1"/>
              </w:rPr>
              <w:t xml:space="preserve"> Behaviour incidents are minimal.</w:t>
            </w:r>
          </w:p>
        </w:tc>
      </w:tr>
    </w:tbl>
    <w:p w14:paraId="349EC825" w14:textId="77777777" w:rsidR="002D7D88" w:rsidRDefault="002D7D88"/>
    <w:p w14:paraId="4A711646" w14:textId="77777777" w:rsidR="00186830" w:rsidRPr="00C64FEE" w:rsidRDefault="00C64FEE" w:rsidP="00C64FEE">
      <w:pPr>
        <w:rPr>
          <w:b/>
          <w:bCs/>
          <w:sz w:val="28"/>
          <w:szCs w:val="28"/>
        </w:rPr>
      </w:pPr>
      <w:r w:rsidRPr="008A1D5F">
        <w:rPr>
          <w:b/>
          <w:bCs/>
          <w:sz w:val="28"/>
          <w:szCs w:val="28"/>
          <w:u w:val="single"/>
        </w:rPr>
        <w:t>Teaching priorities for current academic year</w:t>
      </w:r>
      <w:r>
        <w:rPr>
          <w:b/>
          <w:bCs/>
          <w:sz w:val="28"/>
          <w:szCs w:val="28"/>
        </w:rPr>
        <w:t xml:space="preserve"> </w:t>
      </w:r>
      <w:r w:rsidRPr="00C64FEE">
        <w:rPr>
          <w:b/>
          <w:bCs/>
        </w:rPr>
        <w:t>i.e. Professional development</w:t>
      </w:r>
      <w:r>
        <w:rPr>
          <w:b/>
          <w:bCs/>
        </w:rPr>
        <w:t>, r</w:t>
      </w:r>
      <w:r w:rsidRPr="00C64FEE">
        <w:rPr>
          <w:b/>
          <w:bCs/>
        </w:rPr>
        <w:t>ecruitment and retention</w:t>
      </w:r>
      <w:r>
        <w:rPr>
          <w:b/>
          <w:bCs/>
        </w:rPr>
        <w:t>, s</w:t>
      </w:r>
      <w:r w:rsidRPr="00C64FEE">
        <w:rPr>
          <w:b/>
          <w:bCs/>
        </w:rPr>
        <w:t>upport for early career teachers</w:t>
      </w:r>
    </w:p>
    <w:tbl>
      <w:tblPr>
        <w:tblStyle w:val="TableGrid"/>
        <w:tblW w:w="14312" w:type="dxa"/>
        <w:tblLayout w:type="fixed"/>
        <w:tblLook w:val="04A0" w:firstRow="1" w:lastRow="0" w:firstColumn="1" w:lastColumn="0" w:noHBand="0" w:noVBand="1"/>
      </w:tblPr>
      <w:tblGrid>
        <w:gridCol w:w="848"/>
        <w:gridCol w:w="2691"/>
        <w:gridCol w:w="2552"/>
        <w:gridCol w:w="1984"/>
        <w:gridCol w:w="992"/>
        <w:gridCol w:w="1701"/>
        <w:gridCol w:w="1276"/>
        <w:gridCol w:w="2268"/>
      </w:tblGrid>
      <w:tr w:rsidR="005B176E" w14:paraId="5DF5FDD1" w14:textId="77777777" w:rsidTr="009F0187">
        <w:tc>
          <w:tcPr>
            <w:tcW w:w="848" w:type="dxa"/>
          </w:tcPr>
          <w:p w14:paraId="6F70454E" w14:textId="77777777" w:rsidR="00ED1301" w:rsidRPr="006866D4" w:rsidRDefault="00ED1301" w:rsidP="00ED1301">
            <w:pPr>
              <w:jc w:val="center"/>
              <w:rPr>
                <w:b/>
                <w:bCs/>
              </w:rPr>
            </w:pPr>
            <w:bookmarkStart w:id="2" w:name="_Hlk31801249"/>
            <w:r w:rsidRPr="006866D4">
              <w:rPr>
                <w:b/>
                <w:bCs/>
              </w:rPr>
              <w:t>Barrier</w:t>
            </w:r>
          </w:p>
        </w:tc>
        <w:tc>
          <w:tcPr>
            <w:tcW w:w="2691" w:type="dxa"/>
          </w:tcPr>
          <w:p w14:paraId="0B2973DA" w14:textId="77777777" w:rsidR="00ED1301" w:rsidRDefault="00ED1301" w:rsidP="00ED1301">
            <w:pPr>
              <w:jc w:val="center"/>
              <w:rPr>
                <w:b/>
                <w:bCs/>
              </w:rPr>
            </w:pPr>
            <w:r>
              <w:rPr>
                <w:b/>
                <w:bCs/>
              </w:rPr>
              <w:t>Action</w:t>
            </w:r>
          </w:p>
          <w:p w14:paraId="411FC549" w14:textId="0E9F2A61" w:rsidR="009B1CB9" w:rsidRPr="006866D4" w:rsidRDefault="009B1CB9" w:rsidP="00ED1301">
            <w:pPr>
              <w:jc w:val="center"/>
              <w:rPr>
                <w:b/>
                <w:bCs/>
              </w:rPr>
            </w:pPr>
          </w:p>
        </w:tc>
        <w:tc>
          <w:tcPr>
            <w:tcW w:w="2552" w:type="dxa"/>
          </w:tcPr>
          <w:p w14:paraId="7AE05669" w14:textId="77777777" w:rsidR="00ED1301" w:rsidRPr="006866D4" w:rsidRDefault="00ED1301" w:rsidP="00ED1301">
            <w:pPr>
              <w:jc w:val="center"/>
              <w:rPr>
                <w:b/>
                <w:bCs/>
              </w:rPr>
            </w:pPr>
            <w:r w:rsidRPr="006866D4">
              <w:rPr>
                <w:b/>
                <w:bCs/>
              </w:rPr>
              <w:t>Desired outcome</w:t>
            </w:r>
          </w:p>
        </w:tc>
        <w:tc>
          <w:tcPr>
            <w:tcW w:w="1984" w:type="dxa"/>
          </w:tcPr>
          <w:p w14:paraId="0B5FF2A2" w14:textId="77777777" w:rsidR="00ED1301" w:rsidRPr="006866D4" w:rsidRDefault="00ED1301" w:rsidP="00ED1301">
            <w:pPr>
              <w:jc w:val="center"/>
              <w:rPr>
                <w:b/>
                <w:bCs/>
              </w:rPr>
            </w:pPr>
            <w:r w:rsidRPr="006866D4">
              <w:rPr>
                <w:b/>
                <w:bCs/>
              </w:rPr>
              <w:t>Evidence source</w:t>
            </w:r>
          </w:p>
        </w:tc>
        <w:tc>
          <w:tcPr>
            <w:tcW w:w="992" w:type="dxa"/>
          </w:tcPr>
          <w:p w14:paraId="7AEBE752" w14:textId="77777777" w:rsidR="00ED1301" w:rsidRPr="006866D4" w:rsidRDefault="00ED1301" w:rsidP="00ED1301">
            <w:pPr>
              <w:jc w:val="center"/>
              <w:rPr>
                <w:b/>
                <w:bCs/>
              </w:rPr>
            </w:pPr>
            <w:r w:rsidRPr="006866D4">
              <w:rPr>
                <w:b/>
                <w:bCs/>
              </w:rPr>
              <w:t>Cost</w:t>
            </w:r>
          </w:p>
        </w:tc>
        <w:tc>
          <w:tcPr>
            <w:tcW w:w="1701" w:type="dxa"/>
          </w:tcPr>
          <w:p w14:paraId="47163704" w14:textId="77777777" w:rsidR="00ED1301" w:rsidRPr="006866D4" w:rsidRDefault="00ED1301" w:rsidP="00ED1301">
            <w:pPr>
              <w:jc w:val="center"/>
              <w:rPr>
                <w:b/>
                <w:bCs/>
              </w:rPr>
            </w:pPr>
            <w:r w:rsidRPr="006866D4">
              <w:rPr>
                <w:b/>
                <w:bCs/>
              </w:rPr>
              <w:t>Baseline data</w:t>
            </w:r>
          </w:p>
        </w:tc>
        <w:tc>
          <w:tcPr>
            <w:tcW w:w="1276" w:type="dxa"/>
          </w:tcPr>
          <w:p w14:paraId="3A49629B" w14:textId="77777777" w:rsidR="00ED1301" w:rsidRPr="006866D4" w:rsidRDefault="00ED1301" w:rsidP="00ED1301">
            <w:pPr>
              <w:jc w:val="center"/>
              <w:rPr>
                <w:b/>
                <w:bCs/>
              </w:rPr>
            </w:pPr>
            <w:r w:rsidRPr="006866D4">
              <w:rPr>
                <w:b/>
                <w:bCs/>
              </w:rPr>
              <w:t>Person responsible</w:t>
            </w:r>
          </w:p>
        </w:tc>
        <w:tc>
          <w:tcPr>
            <w:tcW w:w="2268" w:type="dxa"/>
          </w:tcPr>
          <w:p w14:paraId="2C589918" w14:textId="77777777" w:rsidR="00ED1301" w:rsidRPr="006866D4" w:rsidRDefault="00ED1301" w:rsidP="00ED1301">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5B176E" w14:paraId="08D9FA0B" w14:textId="77777777" w:rsidTr="009F0187">
        <w:tc>
          <w:tcPr>
            <w:tcW w:w="848" w:type="dxa"/>
            <w:shd w:val="clear" w:color="auto" w:fill="DEEAF6" w:themeFill="accent5" w:themeFillTint="33"/>
          </w:tcPr>
          <w:p w14:paraId="41171B6F" w14:textId="77777777" w:rsidR="00A75D82" w:rsidRDefault="00A75D82">
            <w:r>
              <w:t>A</w:t>
            </w:r>
          </w:p>
        </w:tc>
        <w:tc>
          <w:tcPr>
            <w:tcW w:w="2691" w:type="dxa"/>
          </w:tcPr>
          <w:p w14:paraId="0BFE1D23" w14:textId="3138F7C9" w:rsidR="00317761" w:rsidRPr="00FD3A67" w:rsidRDefault="002A2936" w:rsidP="00312599">
            <w:pPr>
              <w:rPr>
                <w:color w:val="4472C4" w:themeColor="accent1"/>
              </w:rPr>
            </w:pPr>
            <w:r w:rsidRPr="0C5B573C">
              <w:rPr>
                <w:color w:val="4472C4" w:themeColor="accent1"/>
              </w:rPr>
              <w:t xml:space="preserve">All staff to receive CPD in relation to </w:t>
            </w:r>
            <w:r w:rsidR="54D89D10" w:rsidRPr="0C5B573C">
              <w:rPr>
                <w:color w:val="4472C4" w:themeColor="accent1"/>
              </w:rPr>
              <w:t>well</w:t>
            </w:r>
            <w:r w:rsidR="007772CC" w:rsidRPr="0C5B573C">
              <w:rPr>
                <w:color w:val="4472C4" w:themeColor="accent1"/>
              </w:rPr>
              <w:t xml:space="preserve">-being </w:t>
            </w:r>
            <w:r w:rsidRPr="0C5B573C">
              <w:rPr>
                <w:color w:val="4472C4" w:themeColor="accent1"/>
              </w:rPr>
              <w:t>programme for schools.</w:t>
            </w:r>
          </w:p>
        </w:tc>
        <w:tc>
          <w:tcPr>
            <w:tcW w:w="2552" w:type="dxa"/>
          </w:tcPr>
          <w:p w14:paraId="723C7514" w14:textId="3AE0C5D8" w:rsidR="00852940" w:rsidRPr="00FD3A67" w:rsidRDefault="002A2936" w:rsidP="00A75D82">
            <w:pPr>
              <w:rPr>
                <w:color w:val="4472C4" w:themeColor="accent1"/>
              </w:rPr>
            </w:pPr>
            <w:r w:rsidRPr="00FD3A67">
              <w:rPr>
                <w:color w:val="4472C4" w:themeColor="accent1"/>
              </w:rPr>
              <w:t>All staff are quipped for early recognition of children</w:t>
            </w:r>
            <w:r w:rsidR="00FA1A67">
              <w:rPr>
                <w:color w:val="4472C4" w:themeColor="accent1"/>
              </w:rPr>
              <w:t>’</w:t>
            </w:r>
            <w:r w:rsidRPr="00FD3A67">
              <w:rPr>
                <w:color w:val="4472C4" w:themeColor="accent1"/>
              </w:rPr>
              <w:t>s mental health needs.</w:t>
            </w:r>
          </w:p>
          <w:p w14:paraId="6D623B9E" w14:textId="77777777" w:rsidR="002A2936" w:rsidRPr="00FD3A67" w:rsidRDefault="002A2936" w:rsidP="00A75D82">
            <w:pPr>
              <w:rPr>
                <w:color w:val="4472C4" w:themeColor="accent1"/>
              </w:rPr>
            </w:pPr>
          </w:p>
          <w:p w14:paraId="65363860" w14:textId="77777777" w:rsidR="002A2936" w:rsidRDefault="002A2936" w:rsidP="00A75D82">
            <w:pPr>
              <w:rPr>
                <w:color w:val="4472C4" w:themeColor="accent1"/>
              </w:rPr>
            </w:pPr>
            <w:r w:rsidRPr="00FD3A67">
              <w:rPr>
                <w:color w:val="4472C4" w:themeColor="accent1"/>
              </w:rPr>
              <w:t>The profile of PSHE is raised throughout school and les</w:t>
            </w:r>
            <w:r w:rsidR="007772CC" w:rsidRPr="00FD3A67">
              <w:rPr>
                <w:color w:val="4472C4" w:themeColor="accent1"/>
              </w:rPr>
              <w:t>s</w:t>
            </w:r>
            <w:r w:rsidRPr="00FD3A67">
              <w:rPr>
                <w:color w:val="4472C4" w:themeColor="accent1"/>
              </w:rPr>
              <w:t xml:space="preserve">ons are taking place on a daily/ weekly </w:t>
            </w:r>
            <w:r w:rsidRPr="00FD3A67">
              <w:rPr>
                <w:color w:val="4472C4" w:themeColor="accent1"/>
              </w:rPr>
              <w:lastRenderedPageBreak/>
              <w:t>basis which support he mental health needs of all pupils.</w:t>
            </w:r>
          </w:p>
          <w:p w14:paraId="3D8DEEB1" w14:textId="7B2184E7" w:rsidR="00312599" w:rsidRPr="00FD3A67" w:rsidRDefault="00312599" w:rsidP="00A75D82">
            <w:pPr>
              <w:rPr>
                <w:color w:val="4472C4" w:themeColor="accent1"/>
              </w:rPr>
            </w:pPr>
            <w:r>
              <w:rPr>
                <w:color w:val="4472C4" w:themeColor="accent1"/>
              </w:rPr>
              <w:t xml:space="preserve">An increase in pupils’, parents and staff wellbeing. </w:t>
            </w:r>
          </w:p>
        </w:tc>
        <w:tc>
          <w:tcPr>
            <w:tcW w:w="1984" w:type="dxa"/>
          </w:tcPr>
          <w:p w14:paraId="0E1860F6" w14:textId="55C44274" w:rsidR="00852940" w:rsidRPr="00FD3A67" w:rsidRDefault="00312599" w:rsidP="00312599">
            <w:pPr>
              <w:rPr>
                <w:color w:val="4472C4" w:themeColor="accent1"/>
              </w:rPr>
            </w:pPr>
            <w:r>
              <w:rPr>
                <w:color w:val="4472C4" w:themeColor="accent1"/>
              </w:rPr>
              <w:lastRenderedPageBreak/>
              <w:t>The</w:t>
            </w:r>
            <w:r w:rsidR="00A90FF1" w:rsidRPr="0C5B573C">
              <w:rPr>
                <w:color w:val="4472C4" w:themeColor="accent1"/>
              </w:rPr>
              <w:t xml:space="preserve"> </w:t>
            </w:r>
            <w:r>
              <w:rPr>
                <w:color w:val="4472C4" w:themeColor="accent1"/>
              </w:rPr>
              <w:t>W</w:t>
            </w:r>
            <w:r w:rsidR="007772CC" w:rsidRPr="0C5B573C">
              <w:rPr>
                <w:color w:val="4472C4" w:themeColor="accent1"/>
              </w:rPr>
              <w:t>ell-being</w:t>
            </w:r>
            <w:r w:rsidR="002A2936" w:rsidRPr="0C5B573C">
              <w:rPr>
                <w:color w:val="4472C4" w:themeColor="accent1"/>
              </w:rPr>
              <w:t xml:space="preserve"> programme shown to improve pupils</w:t>
            </w:r>
            <w:r w:rsidR="00A90FF1" w:rsidRPr="0C5B573C">
              <w:rPr>
                <w:color w:val="4472C4" w:themeColor="accent1"/>
              </w:rPr>
              <w:t xml:space="preserve">’ </w:t>
            </w:r>
            <w:r w:rsidR="002A2936" w:rsidRPr="0C5B573C">
              <w:rPr>
                <w:color w:val="4472C4" w:themeColor="accent1"/>
              </w:rPr>
              <w:t>engag</w:t>
            </w:r>
            <w:r w:rsidR="007772CC" w:rsidRPr="0C5B573C">
              <w:rPr>
                <w:color w:val="4472C4" w:themeColor="accent1"/>
              </w:rPr>
              <w:t>e</w:t>
            </w:r>
            <w:r w:rsidR="002A2936" w:rsidRPr="0C5B573C">
              <w:rPr>
                <w:color w:val="4472C4" w:themeColor="accent1"/>
              </w:rPr>
              <w:t xml:space="preserve">ment resulting in </w:t>
            </w:r>
            <w:r w:rsidR="00A90FF1" w:rsidRPr="0C5B573C">
              <w:rPr>
                <w:color w:val="4472C4" w:themeColor="accent1"/>
              </w:rPr>
              <w:t>accelerated progress and increas</w:t>
            </w:r>
            <w:r>
              <w:rPr>
                <w:color w:val="4472C4" w:themeColor="accent1"/>
              </w:rPr>
              <w:t xml:space="preserve">ed </w:t>
            </w:r>
            <w:r>
              <w:rPr>
                <w:color w:val="4472C4" w:themeColor="accent1"/>
              </w:rPr>
              <w:lastRenderedPageBreak/>
              <w:t>wellbeing / settled children.</w:t>
            </w:r>
          </w:p>
        </w:tc>
        <w:tc>
          <w:tcPr>
            <w:tcW w:w="992" w:type="dxa"/>
          </w:tcPr>
          <w:p w14:paraId="6DD29AA0" w14:textId="01D06980" w:rsidR="00317761" w:rsidRPr="00FD3A67" w:rsidRDefault="002A2936">
            <w:pPr>
              <w:rPr>
                <w:color w:val="4472C4" w:themeColor="accent1"/>
              </w:rPr>
            </w:pPr>
            <w:r w:rsidRPr="00FD3A67">
              <w:rPr>
                <w:color w:val="4472C4" w:themeColor="accent1"/>
              </w:rPr>
              <w:lastRenderedPageBreak/>
              <w:t>£</w:t>
            </w:r>
            <w:r w:rsidR="00C03629">
              <w:rPr>
                <w:color w:val="4472C4" w:themeColor="accent1"/>
              </w:rPr>
              <w:t>500</w:t>
            </w:r>
          </w:p>
        </w:tc>
        <w:tc>
          <w:tcPr>
            <w:tcW w:w="1701" w:type="dxa"/>
          </w:tcPr>
          <w:p w14:paraId="605B35EF" w14:textId="2717B551" w:rsidR="00317761" w:rsidRPr="00A90FF1" w:rsidRDefault="002A2936" w:rsidP="002A2936">
            <w:pPr>
              <w:autoSpaceDE w:val="0"/>
              <w:autoSpaceDN w:val="0"/>
              <w:adjustRightInd w:val="0"/>
              <w:rPr>
                <w:rFonts w:ascii="Arial" w:hAnsi="Arial" w:cs="Arial"/>
                <w:iCs/>
                <w:color w:val="4472C4" w:themeColor="accent1"/>
                <w:sz w:val="20"/>
                <w:szCs w:val="20"/>
              </w:rPr>
            </w:pPr>
            <w:r w:rsidRPr="00A90FF1">
              <w:rPr>
                <w:rFonts w:ascii="Arial" w:hAnsi="Arial" w:cs="Arial"/>
                <w:iCs/>
                <w:color w:val="4472C4" w:themeColor="accent1"/>
                <w:sz w:val="20"/>
                <w:szCs w:val="20"/>
              </w:rPr>
              <w:t>Determined from pupil surveys</w:t>
            </w:r>
            <w:r w:rsidR="00A90FF1" w:rsidRPr="00A90FF1">
              <w:rPr>
                <w:rFonts w:ascii="Arial" w:hAnsi="Arial" w:cs="Arial"/>
                <w:iCs/>
                <w:color w:val="4472C4" w:themeColor="accent1"/>
                <w:sz w:val="20"/>
                <w:szCs w:val="20"/>
              </w:rPr>
              <w:t xml:space="preserve"> / conversations </w:t>
            </w:r>
          </w:p>
        </w:tc>
        <w:tc>
          <w:tcPr>
            <w:tcW w:w="1276" w:type="dxa"/>
          </w:tcPr>
          <w:p w14:paraId="2630FCD3" w14:textId="32657B50" w:rsidR="00A75D82" w:rsidRPr="00FD3A67" w:rsidRDefault="002A2936">
            <w:pPr>
              <w:rPr>
                <w:color w:val="4472C4" w:themeColor="accent1"/>
              </w:rPr>
            </w:pPr>
            <w:r w:rsidRPr="00FD3A67">
              <w:rPr>
                <w:color w:val="4472C4" w:themeColor="accent1"/>
              </w:rPr>
              <w:t>SEN</w:t>
            </w:r>
            <w:r w:rsidR="008A49DF">
              <w:rPr>
                <w:color w:val="4472C4" w:themeColor="accent1"/>
              </w:rPr>
              <w:t>D</w:t>
            </w:r>
            <w:r w:rsidRPr="00FD3A67">
              <w:rPr>
                <w:color w:val="4472C4" w:themeColor="accent1"/>
              </w:rPr>
              <w:t>CO</w:t>
            </w:r>
          </w:p>
        </w:tc>
        <w:tc>
          <w:tcPr>
            <w:tcW w:w="2268" w:type="dxa"/>
          </w:tcPr>
          <w:p w14:paraId="29712C2E" w14:textId="77777777" w:rsidR="0017466F" w:rsidRDefault="002A2936">
            <w:pPr>
              <w:rPr>
                <w:color w:val="FF0000"/>
              </w:rPr>
            </w:pPr>
            <w:r w:rsidRPr="002A2936">
              <w:rPr>
                <w:color w:val="FF0000"/>
              </w:rPr>
              <w:t>Autumn term</w:t>
            </w:r>
          </w:p>
          <w:p w14:paraId="6A7FA496" w14:textId="6E899AB1" w:rsidR="001579A0" w:rsidRPr="002A2936" w:rsidRDefault="001579A0">
            <w:pPr>
              <w:rPr>
                <w:color w:val="FF0000"/>
              </w:rPr>
            </w:pPr>
            <w:r>
              <w:rPr>
                <w:color w:val="FF0000"/>
              </w:rPr>
              <w:t xml:space="preserve">Impact evaluated during and the end of Spring &amp; Summer term </w:t>
            </w:r>
          </w:p>
          <w:p w14:paraId="48B2A7BE" w14:textId="73629EC0" w:rsidR="002A2936" w:rsidRDefault="002A2936"/>
        </w:tc>
      </w:tr>
      <w:tr w:rsidR="005B176E" w14:paraId="5C788DAA" w14:textId="77777777" w:rsidTr="009F0187">
        <w:tc>
          <w:tcPr>
            <w:tcW w:w="848" w:type="dxa"/>
            <w:shd w:val="clear" w:color="auto" w:fill="DEEAF6" w:themeFill="accent5" w:themeFillTint="33"/>
          </w:tcPr>
          <w:p w14:paraId="2D5A3F8E" w14:textId="77777777" w:rsidR="00A75D82" w:rsidRPr="00A75D82" w:rsidRDefault="00A75D82">
            <w:pPr>
              <w:rPr>
                <w:b/>
              </w:rPr>
            </w:pPr>
            <w:r>
              <w:rPr>
                <w:b/>
              </w:rPr>
              <w:t>B</w:t>
            </w:r>
          </w:p>
        </w:tc>
        <w:tc>
          <w:tcPr>
            <w:tcW w:w="2691" w:type="dxa"/>
          </w:tcPr>
          <w:p w14:paraId="142EC52A" w14:textId="7618C7C7" w:rsidR="007D245F" w:rsidRPr="00FD3A67" w:rsidRDefault="007D245F" w:rsidP="0037565D">
            <w:pPr>
              <w:rPr>
                <w:color w:val="4472C4" w:themeColor="accent1"/>
              </w:rPr>
            </w:pPr>
            <w:r w:rsidRPr="00FD3A67">
              <w:rPr>
                <w:color w:val="4472C4" w:themeColor="accent1"/>
              </w:rPr>
              <w:t xml:space="preserve">CPD provided for staff on the </w:t>
            </w:r>
            <w:r w:rsidR="00BB28F0">
              <w:rPr>
                <w:color w:val="4472C4" w:themeColor="accent1"/>
              </w:rPr>
              <w:t xml:space="preserve">increased </w:t>
            </w:r>
            <w:r w:rsidRPr="00FD3A67">
              <w:rPr>
                <w:color w:val="4472C4" w:themeColor="accent1"/>
              </w:rPr>
              <w:t>effective use of</w:t>
            </w:r>
            <w:r w:rsidR="00BB28F0">
              <w:rPr>
                <w:color w:val="4472C4" w:themeColor="accent1"/>
              </w:rPr>
              <w:t xml:space="preserve"> </w:t>
            </w:r>
            <w:r w:rsidR="00533DD8">
              <w:rPr>
                <w:color w:val="4472C4" w:themeColor="accent1"/>
              </w:rPr>
              <w:t xml:space="preserve">Class Dojo as the school’s </w:t>
            </w:r>
            <w:r w:rsidR="009538C2" w:rsidRPr="00533DD8">
              <w:rPr>
                <w:color w:val="4472C4" w:themeColor="accent1"/>
              </w:rPr>
              <w:t>online platform</w:t>
            </w:r>
            <w:r w:rsidRPr="00533DD8">
              <w:rPr>
                <w:color w:val="4472C4" w:themeColor="accent1"/>
              </w:rPr>
              <w:t>.</w:t>
            </w:r>
          </w:p>
          <w:p w14:paraId="0E83881F" w14:textId="211B9453" w:rsidR="007D245F" w:rsidRDefault="007D245F" w:rsidP="0037565D">
            <w:pPr>
              <w:rPr>
                <w:color w:val="4472C4" w:themeColor="accent1"/>
              </w:rPr>
            </w:pPr>
            <w:r w:rsidRPr="00FD3A67">
              <w:rPr>
                <w:color w:val="4472C4" w:themeColor="accent1"/>
              </w:rPr>
              <w:t xml:space="preserve">Children are </w:t>
            </w:r>
            <w:r w:rsidR="00BB28F0">
              <w:rPr>
                <w:color w:val="4472C4" w:themeColor="accent1"/>
              </w:rPr>
              <w:t xml:space="preserve">further </w:t>
            </w:r>
            <w:r w:rsidRPr="00FD3A67">
              <w:rPr>
                <w:color w:val="4472C4" w:themeColor="accent1"/>
              </w:rPr>
              <w:t>trained in its use</w:t>
            </w:r>
            <w:r w:rsidR="009538C2">
              <w:rPr>
                <w:color w:val="4472C4" w:themeColor="accent1"/>
              </w:rPr>
              <w:t xml:space="preserve"> – particularly in </w:t>
            </w:r>
            <w:r w:rsidR="006841FF">
              <w:rPr>
                <w:color w:val="4472C4" w:themeColor="accent1"/>
              </w:rPr>
              <w:t>independent</w:t>
            </w:r>
            <w:r w:rsidR="009538C2">
              <w:rPr>
                <w:color w:val="4472C4" w:themeColor="accent1"/>
              </w:rPr>
              <w:t xml:space="preserve"> learning strategies</w:t>
            </w:r>
            <w:r w:rsidR="006841FF">
              <w:rPr>
                <w:color w:val="4472C4" w:themeColor="accent1"/>
              </w:rPr>
              <w:t>, self-regulation</w:t>
            </w:r>
            <w:r w:rsidR="009538C2">
              <w:rPr>
                <w:color w:val="4472C4" w:themeColor="accent1"/>
              </w:rPr>
              <w:t xml:space="preserve"> and online safety</w:t>
            </w:r>
            <w:r w:rsidRPr="00FD3A67">
              <w:rPr>
                <w:color w:val="4472C4" w:themeColor="accent1"/>
              </w:rPr>
              <w:t>.</w:t>
            </w:r>
          </w:p>
          <w:p w14:paraId="71FE4A0A" w14:textId="77777777" w:rsidR="009F0187" w:rsidRDefault="009F0187" w:rsidP="0037565D">
            <w:pPr>
              <w:rPr>
                <w:color w:val="4472C4" w:themeColor="accent1"/>
              </w:rPr>
            </w:pPr>
          </w:p>
          <w:p w14:paraId="4B54476B" w14:textId="436B4CEE" w:rsidR="009F0187" w:rsidRPr="00FD3A67" w:rsidRDefault="009F0187" w:rsidP="0037565D">
            <w:pPr>
              <w:rPr>
                <w:color w:val="4472C4" w:themeColor="accent1"/>
              </w:rPr>
            </w:pPr>
            <w:r>
              <w:rPr>
                <w:color w:val="4472C4" w:themeColor="accent1"/>
              </w:rPr>
              <w:t>Additional resources provided.</w:t>
            </w:r>
          </w:p>
          <w:p w14:paraId="543CCCC4" w14:textId="77777777" w:rsidR="007D245F" w:rsidRPr="00FD3A67" w:rsidRDefault="007D245F" w:rsidP="0037565D">
            <w:pPr>
              <w:rPr>
                <w:color w:val="4472C4" w:themeColor="accent1"/>
              </w:rPr>
            </w:pPr>
          </w:p>
          <w:p w14:paraId="4D3A14C7" w14:textId="5A258741" w:rsidR="007D245F" w:rsidRPr="00FD3A67" w:rsidRDefault="007D245F" w:rsidP="0037565D">
            <w:pPr>
              <w:rPr>
                <w:color w:val="4472C4" w:themeColor="accent1"/>
              </w:rPr>
            </w:pPr>
            <w:r w:rsidRPr="00FD3A67">
              <w:rPr>
                <w:color w:val="4472C4" w:themeColor="accent1"/>
              </w:rPr>
              <w:t>Parents/carers are made aware of the platform and h</w:t>
            </w:r>
            <w:r w:rsidR="009F0187">
              <w:rPr>
                <w:color w:val="4472C4" w:themeColor="accent1"/>
              </w:rPr>
              <w:t>ow it can support home learning and work in school.</w:t>
            </w:r>
          </w:p>
          <w:p w14:paraId="7A44EFF7" w14:textId="3D5D0C3A" w:rsidR="007D245F" w:rsidRPr="00FD3A67" w:rsidRDefault="007D245F" w:rsidP="0037565D">
            <w:pPr>
              <w:rPr>
                <w:color w:val="4472C4" w:themeColor="accent1"/>
              </w:rPr>
            </w:pPr>
          </w:p>
        </w:tc>
        <w:tc>
          <w:tcPr>
            <w:tcW w:w="2552" w:type="dxa"/>
          </w:tcPr>
          <w:p w14:paraId="50A015F0" w14:textId="0310AD1D" w:rsidR="007D245F" w:rsidRDefault="00B12C06" w:rsidP="007D245F">
            <w:pPr>
              <w:rPr>
                <w:color w:val="4472C4" w:themeColor="accent1"/>
              </w:rPr>
            </w:pPr>
            <w:r>
              <w:rPr>
                <w:color w:val="4472C4" w:themeColor="accent1"/>
              </w:rPr>
              <w:t>The platform</w:t>
            </w:r>
            <w:r w:rsidR="007D245F" w:rsidRPr="00FD3A67">
              <w:rPr>
                <w:color w:val="4472C4" w:themeColor="accent1"/>
              </w:rPr>
              <w:t xml:space="preserve"> is in place and staff, pupils and parents are able to use it effectively. </w:t>
            </w:r>
          </w:p>
          <w:p w14:paraId="6CC2B94E" w14:textId="76FE9CD5" w:rsidR="009F0187" w:rsidRPr="00FD3A67" w:rsidRDefault="009F0187" w:rsidP="007D245F">
            <w:pPr>
              <w:rPr>
                <w:color w:val="4472C4" w:themeColor="accent1"/>
              </w:rPr>
            </w:pPr>
            <w:r>
              <w:rPr>
                <w:color w:val="4472C4" w:themeColor="accent1"/>
              </w:rPr>
              <w:t>Homework is completed using this platform.</w:t>
            </w:r>
          </w:p>
          <w:p w14:paraId="4C7E302A" w14:textId="77777777" w:rsidR="007D245F" w:rsidRPr="00FD3A67" w:rsidRDefault="007D245F" w:rsidP="007D245F">
            <w:pPr>
              <w:rPr>
                <w:color w:val="4472C4" w:themeColor="accent1"/>
              </w:rPr>
            </w:pPr>
          </w:p>
          <w:p w14:paraId="0541C5C0" w14:textId="77777777" w:rsidR="009538C2" w:rsidRDefault="009538C2" w:rsidP="007D245F">
            <w:pPr>
              <w:rPr>
                <w:color w:val="4472C4" w:themeColor="accent1"/>
              </w:rPr>
            </w:pPr>
          </w:p>
          <w:p w14:paraId="4E7A3DB1" w14:textId="6970DB1E" w:rsidR="006841FF" w:rsidRDefault="009F0187" w:rsidP="007D245F">
            <w:pPr>
              <w:rPr>
                <w:color w:val="4472C4" w:themeColor="accent1"/>
              </w:rPr>
            </w:pPr>
            <w:r>
              <w:rPr>
                <w:color w:val="4472C4" w:themeColor="accent1"/>
              </w:rPr>
              <w:t>Home Learning Guide EEF</w:t>
            </w:r>
          </w:p>
          <w:p w14:paraId="1A5A256D" w14:textId="4A1CD092" w:rsidR="007D245F" w:rsidRPr="00FD3A67" w:rsidRDefault="007D245F" w:rsidP="007D245F">
            <w:pPr>
              <w:rPr>
                <w:color w:val="4472C4" w:themeColor="accent1"/>
              </w:rPr>
            </w:pPr>
            <w:r w:rsidRPr="00FD3A67">
              <w:rPr>
                <w:color w:val="4472C4" w:themeColor="accent1"/>
              </w:rPr>
              <w:t>Home learning (homework) and communication with parents is enhanced (parent/ pupil surveys)</w:t>
            </w:r>
          </w:p>
          <w:p w14:paraId="206575E8" w14:textId="77777777" w:rsidR="007D245F" w:rsidRPr="00FD3A67" w:rsidRDefault="007D245F" w:rsidP="007D245F">
            <w:pPr>
              <w:rPr>
                <w:color w:val="4472C4" w:themeColor="accent1"/>
              </w:rPr>
            </w:pPr>
          </w:p>
          <w:p w14:paraId="41B6DE93" w14:textId="36B9E197" w:rsidR="00A75D82" w:rsidRPr="00FD3A67" w:rsidRDefault="00A75D82" w:rsidP="0037565D">
            <w:pPr>
              <w:rPr>
                <w:color w:val="4472C4" w:themeColor="accent1"/>
              </w:rPr>
            </w:pPr>
          </w:p>
        </w:tc>
        <w:tc>
          <w:tcPr>
            <w:tcW w:w="1984" w:type="dxa"/>
          </w:tcPr>
          <w:p w14:paraId="3FE5CE68" w14:textId="04F486E7" w:rsidR="007D245F" w:rsidRDefault="009538C2">
            <w:pPr>
              <w:rPr>
                <w:color w:val="4472C4" w:themeColor="accent1"/>
              </w:rPr>
            </w:pPr>
            <w:r>
              <w:rPr>
                <w:color w:val="4472C4" w:themeColor="accent1"/>
              </w:rPr>
              <w:t xml:space="preserve">Engagement with </w:t>
            </w:r>
            <w:r w:rsidR="00533DD8">
              <w:rPr>
                <w:color w:val="4472C4" w:themeColor="accent1"/>
              </w:rPr>
              <w:t xml:space="preserve">Class Dojo </w:t>
            </w:r>
            <w:r w:rsidRPr="00533DD8">
              <w:rPr>
                <w:color w:val="4472C4" w:themeColor="accent1"/>
              </w:rPr>
              <w:t>online platform</w:t>
            </w:r>
          </w:p>
          <w:p w14:paraId="082B3589" w14:textId="7CB18708" w:rsidR="009538C2" w:rsidRDefault="009538C2">
            <w:pPr>
              <w:rPr>
                <w:color w:val="4472C4" w:themeColor="accent1"/>
              </w:rPr>
            </w:pPr>
          </w:p>
          <w:p w14:paraId="41963BF0" w14:textId="6E98E8DD" w:rsidR="009538C2" w:rsidRDefault="009538C2">
            <w:pPr>
              <w:rPr>
                <w:color w:val="4472C4" w:themeColor="accent1"/>
              </w:rPr>
            </w:pPr>
            <w:r>
              <w:rPr>
                <w:color w:val="4472C4" w:themeColor="accent1"/>
              </w:rPr>
              <w:t>Staff surveys</w:t>
            </w:r>
          </w:p>
          <w:p w14:paraId="7B2A6330" w14:textId="242C20D9" w:rsidR="006841FF" w:rsidRDefault="006841FF">
            <w:pPr>
              <w:rPr>
                <w:color w:val="4472C4" w:themeColor="accent1"/>
              </w:rPr>
            </w:pPr>
          </w:p>
          <w:p w14:paraId="4BF4FAC6" w14:textId="3030A105" w:rsidR="006841FF" w:rsidRPr="00FD3A67" w:rsidRDefault="006841FF">
            <w:pPr>
              <w:rPr>
                <w:color w:val="4472C4" w:themeColor="accent1"/>
              </w:rPr>
            </w:pPr>
            <w:r>
              <w:rPr>
                <w:color w:val="4472C4" w:themeColor="accent1"/>
              </w:rPr>
              <w:t>Pupil surveys</w:t>
            </w:r>
          </w:p>
          <w:p w14:paraId="3021FCD8" w14:textId="77777777" w:rsidR="007D245F" w:rsidRPr="00FD3A67" w:rsidRDefault="007D245F">
            <w:pPr>
              <w:rPr>
                <w:color w:val="4472C4" w:themeColor="accent1"/>
              </w:rPr>
            </w:pPr>
          </w:p>
          <w:p w14:paraId="15F5A35C" w14:textId="0EF3C15E" w:rsidR="007D245F" w:rsidRDefault="007D245F">
            <w:pPr>
              <w:rPr>
                <w:color w:val="4472C4" w:themeColor="accent1"/>
              </w:rPr>
            </w:pPr>
            <w:r w:rsidRPr="00FD3A67">
              <w:rPr>
                <w:color w:val="4472C4" w:themeColor="accent1"/>
              </w:rPr>
              <w:t xml:space="preserve">Effective parental engagement supports learning </w:t>
            </w:r>
          </w:p>
          <w:p w14:paraId="3E45A22B" w14:textId="106B2D7B" w:rsidR="009538C2" w:rsidRDefault="009538C2">
            <w:pPr>
              <w:rPr>
                <w:color w:val="4472C4" w:themeColor="accent1"/>
              </w:rPr>
            </w:pPr>
          </w:p>
          <w:p w14:paraId="7ABC83B3" w14:textId="46B5FB22" w:rsidR="009538C2" w:rsidRPr="00FD3A67" w:rsidRDefault="009538C2">
            <w:pPr>
              <w:rPr>
                <w:color w:val="4472C4" w:themeColor="accent1"/>
              </w:rPr>
            </w:pPr>
            <w:r>
              <w:rPr>
                <w:color w:val="4472C4" w:themeColor="accent1"/>
              </w:rPr>
              <w:t>Parental questionnaire</w:t>
            </w:r>
          </w:p>
          <w:p w14:paraId="1F859362" w14:textId="22EDC044" w:rsidR="007D245F" w:rsidRPr="00FD3A67" w:rsidRDefault="007D245F">
            <w:pPr>
              <w:rPr>
                <w:color w:val="4472C4" w:themeColor="accent1"/>
              </w:rPr>
            </w:pPr>
          </w:p>
        </w:tc>
        <w:tc>
          <w:tcPr>
            <w:tcW w:w="992" w:type="dxa"/>
          </w:tcPr>
          <w:p w14:paraId="4A8C2FC3" w14:textId="36D9DBB0" w:rsidR="00082E6C" w:rsidRDefault="00884A10" w:rsidP="0037565D">
            <w:pPr>
              <w:rPr>
                <w:color w:val="4472C4" w:themeColor="accent1"/>
              </w:rPr>
            </w:pPr>
            <w:r>
              <w:rPr>
                <w:color w:val="4472C4" w:themeColor="accent1"/>
              </w:rPr>
              <w:t>£3</w:t>
            </w:r>
            <w:r w:rsidR="00082E6C">
              <w:rPr>
                <w:color w:val="4472C4" w:themeColor="accent1"/>
              </w:rPr>
              <w:t>00</w:t>
            </w:r>
          </w:p>
          <w:p w14:paraId="7F11253A" w14:textId="77777777" w:rsidR="00082E6C" w:rsidRDefault="00082E6C" w:rsidP="0037565D">
            <w:pPr>
              <w:rPr>
                <w:color w:val="4472C4" w:themeColor="accent1"/>
              </w:rPr>
            </w:pPr>
          </w:p>
          <w:p w14:paraId="649CB157" w14:textId="77777777" w:rsidR="00884A10" w:rsidRDefault="009F0187" w:rsidP="0037565D">
            <w:pPr>
              <w:rPr>
                <w:color w:val="4472C4" w:themeColor="accent1"/>
              </w:rPr>
            </w:pPr>
            <w:r>
              <w:rPr>
                <w:color w:val="4472C4" w:themeColor="accent1"/>
              </w:rPr>
              <w:t>Resources</w:t>
            </w:r>
            <w:r w:rsidR="00884A10">
              <w:rPr>
                <w:color w:val="4472C4" w:themeColor="accent1"/>
              </w:rPr>
              <w:t>:</w:t>
            </w:r>
          </w:p>
          <w:p w14:paraId="7A9A38C3" w14:textId="2F3EEAF8" w:rsidR="009F0187" w:rsidRDefault="00884A10" w:rsidP="0037565D">
            <w:pPr>
              <w:rPr>
                <w:color w:val="4472C4" w:themeColor="accent1"/>
              </w:rPr>
            </w:pPr>
            <w:r>
              <w:rPr>
                <w:color w:val="4472C4" w:themeColor="accent1"/>
              </w:rPr>
              <w:t>£</w:t>
            </w:r>
            <w:r w:rsidR="009B1CB9">
              <w:rPr>
                <w:color w:val="4472C4" w:themeColor="accent1"/>
              </w:rPr>
              <w:t>240</w:t>
            </w:r>
            <w:r w:rsidR="009F0187">
              <w:rPr>
                <w:color w:val="4472C4" w:themeColor="accent1"/>
              </w:rPr>
              <w:t xml:space="preserve"> </w:t>
            </w:r>
          </w:p>
          <w:p w14:paraId="6F18CF79" w14:textId="77777777" w:rsidR="00683A30" w:rsidRDefault="00683A30" w:rsidP="0037565D">
            <w:pPr>
              <w:rPr>
                <w:color w:val="4472C4" w:themeColor="accent1"/>
              </w:rPr>
            </w:pPr>
          </w:p>
          <w:p w14:paraId="4406A657" w14:textId="1F973FC7" w:rsidR="00683A30" w:rsidRDefault="00683A30" w:rsidP="0037565D">
            <w:pPr>
              <w:rPr>
                <w:color w:val="4472C4" w:themeColor="accent1"/>
              </w:rPr>
            </w:pPr>
            <w:proofErr w:type="spellStart"/>
            <w:r>
              <w:rPr>
                <w:color w:val="4472C4" w:themeColor="accent1"/>
              </w:rPr>
              <w:t>Twinkl</w:t>
            </w:r>
            <w:proofErr w:type="spellEnd"/>
            <w:r>
              <w:rPr>
                <w:color w:val="4472C4" w:themeColor="accent1"/>
              </w:rPr>
              <w:t xml:space="preserve"> £</w:t>
            </w:r>
            <w:r w:rsidR="00884A10">
              <w:rPr>
                <w:color w:val="4472C4" w:themeColor="accent1"/>
              </w:rPr>
              <w:t>2</w:t>
            </w:r>
            <w:r w:rsidR="00CE40CD">
              <w:rPr>
                <w:color w:val="4472C4" w:themeColor="accent1"/>
              </w:rPr>
              <w:t>58</w:t>
            </w:r>
          </w:p>
          <w:p w14:paraId="599306C8" w14:textId="77777777" w:rsidR="00082E6C" w:rsidRDefault="00082E6C" w:rsidP="0037565D">
            <w:pPr>
              <w:rPr>
                <w:color w:val="4472C4" w:themeColor="accent1"/>
              </w:rPr>
            </w:pPr>
          </w:p>
          <w:p w14:paraId="78780789" w14:textId="77777777" w:rsidR="00082E6C" w:rsidRDefault="00082E6C" w:rsidP="0037565D">
            <w:pPr>
              <w:rPr>
                <w:color w:val="4472C4" w:themeColor="accent1"/>
              </w:rPr>
            </w:pPr>
          </w:p>
          <w:p w14:paraId="24AD49CA" w14:textId="77777777" w:rsidR="00082E6C" w:rsidRDefault="00082E6C" w:rsidP="0037565D">
            <w:pPr>
              <w:rPr>
                <w:color w:val="4472C4" w:themeColor="accent1"/>
              </w:rPr>
            </w:pPr>
          </w:p>
          <w:p w14:paraId="1055E704" w14:textId="77777777" w:rsidR="00082E6C" w:rsidRDefault="00082E6C" w:rsidP="0037565D">
            <w:pPr>
              <w:rPr>
                <w:color w:val="4472C4" w:themeColor="accent1"/>
              </w:rPr>
            </w:pPr>
          </w:p>
          <w:p w14:paraId="7E10B33F" w14:textId="77777777" w:rsidR="009F0187" w:rsidRDefault="009F0187" w:rsidP="0037565D">
            <w:pPr>
              <w:rPr>
                <w:color w:val="4472C4" w:themeColor="accent1"/>
              </w:rPr>
            </w:pPr>
          </w:p>
          <w:p w14:paraId="6273D23E" w14:textId="53F2CCF2" w:rsidR="00A75D82" w:rsidRPr="00FD3A67" w:rsidRDefault="00A75D82" w:rsidP="0037565D">
            <w:pPr>
              <w:rPr>
                <w:color w:val="4472C4" w:themeColor="accent1"/>
              </w:rPr>
            </w:pPr>
          </w:p>
        </w:tc>
        <w:tc>
          <w:tcPr>
            <w:tcW w:w="1701" w:type="dxa"/>
          </w:tcPr>
          <w:p w14:paraId="2733078A" w14:textId="49F8D7E7" w:rsidR="009F0187" w:rsidRDefault="009F0187" w:rsidP="00533DD8">
            <w:pPr>
              <w:rPr>
                <w:color w:val="4472C4" w:themeColor="accent1"/>
              </w:rPr>
            </w:pPr>
            <w:r>
              <w:rPr>
                <w:color w:val="4472C4" w:themeColor="accent1"/>
              </w:rPr>
              <w:t xml:space="preserve">Determined from baseline </w:t>
            </w:r>
            <w:r w:rsidR="001579A0">
              <w:rPr>
                <w:color w:val="4472C4" w:themeColor="accent1"/>
              </w:rPr>
              <w:t>assessments.</w:t>
            </w:r>
          </w:p>
          <w:p w14:paraId="182A68F8" w14:textId="77777777" w:rsidR="009F0187" w:rsidRDefault="009F0187" w:rsidP="00533DD8">
            <w:pPr>
              <w:rPr>
                <w:color w:val="4472C4" w:themeColor="accent1"/>
              </w:rPr>
            </w:pPr>
          </w:p>
          <w:p w14:paraId="23F3D5F0" w14:textId="2E09B648" w:rsidR="00533DD8" w:rsidRDefault="00BB28F0" w:rsidP="00533DD8">
            <w:pPr>
              <w:rPr>
                <w:color w:val="4472C4" w:themeColor="accent1"/>
              </w:rPr>
            </w:pPr>
            <w:r>
              <w:rPr>
                <w:color w:val="4472C4" w:themeColor="accent1"/>
              </w:rPr>
              <w:t xml:space="preserve">Engagement levels with </w:t>
            </w:r>
            <w:r w:rsidR="00533DD8">
              <w:rPr>
                <w:color w:val="4472C4" w:themeColor="accent1"/>
              </w:rPr>
              <w:t xml:space="preserve">Class Dojo </w:t>
            </w:r>
            <w:r w:rsidR="00533DD8" w:rsidRPr="00533DD8">
              <w:rPr>
                <w:color w:val="4472C4" w:themeColor="accent1"/>
              </w:rPr>
              <w:t>online platform</w:t>
            </w:r>
          </w:p>
          <w:p w14:paraId="6270DE2F" w14:textId="31AA182B" w:rsidR="00A75D82" w:rsidRDefault="00A75D82" w:rsidP="0037565D">
            <w:pPr>
              <w:rPr>
                <w:color w:val="4472C4" w:themeColor="accent1"/>
              </w:rPr>
            </w:pPr>
          </w:p>
          <w:p w14:paraId="25EB6300" w14:textId="77777777" w:rsidR="009538C2" w:rsidRDefault="009538C2" w:rsidP="0037565D">
            <w:pPr>
              <w:rPr>
                <w:color w:val="4472C4" w:themeColor="accent1"/>
              </w:rPr>
            </w:pPr>
          </w:p>
          <w:p w14:paraId="3F9CD4CF" w14:textId="77777777" w:rsidR="009538C2" w:rsidRDefault="009538C2" w:rsidP="0037565D">
            <w:pPr>
              <w:rPr>
                <w:color w:val="4472C4" w:themeColor="accent1"/>
              </w:rPr>
            </w:pPr>
          </w:p>
          <w:p w14:paraId="6085CD6B" w14:textId="77777777" w:rsidR="009538C2" w:rsidRDefault="009538C2" w:rsidP="0037565D">
            <w:pPr>
              <w:rPr>
                <w:color w:val="4472C4" w:themeColor="accent1"/>
              </w:rPr>
            </w:pPr>
          </w:p>
          <w:p w14:paraId="47507079" w14:textId="77777777" w:rsidR="009538C2" w:rsidRDefault="009538C2" w:rsidP="0037565D">
            <w:pPr>
              <w:rPr>
                <w:color w:val="4472C4" w:themeColor="accent1"/>
              </w:rPr>
            </w:pPr>
          </w:p>
          <w:p w14:paraId="473C0D09" w14:textId="77777777" w:rsidR="006841FF" w:rsidRDefault="006841FF" w:rsidP="0037565D">
            <w:pPr>
              <w:rPr>
                <w:color w:val="4472C4" w:themeColor="accent1"/>
              </w:rPr>
            </w:pPr>
          </w:p>
          <w:p w14:paraId="105584D8" w14:textId="33E80816" w:rsidR="009538C2" w:rsidRPr="00FD3A67" w:rsidRDefault="009538C2" w:rsidP="009F0187">
            <w:pPr>
              <w:rPr>
                <w:color w:val="4472C4" w:themeColor="accent1"/>
              </w:rPr>
            </w:pPr>
          </w:p>
        </w:tc>
        <w:tc>
          <w:tcPr>
            <w:tcW w:w="1276" w:type="dxa"/>
          </w:tcPr>
          <w:p w14:paraId="1E49F418" w14:textId="14C1DD07" w:rsidR="00A75D82" w:rsidRPr="00FD3A67" w:rsidRDefault="009F0187" w:rsidP="009F0187">
            <w:pPr>
              <w:rPr>
                <w:color w:val="4472C4" w:themeColor="accent1"/>
              </w:rPr>
            </w:pPr>
            <w:r>
              <w:rPr>
                <w:color w:val="4472C4" w:themeColor="accent1"/>
              </w:rPr>
              <w:t>All teaching staff/</w:t>
            </w:r>
            <w:r w:rsidR="00BB28F0">
              <w:rPr>
                <w:color w:val="4472C4" w:themeColor="accent1"/>
              </w:rPr>
              <w:t>SLT</w:t>
            </w:r>
          </w:p>
        </w:tc>
        <w:tc>
          <w:tcPr>
            <w:tcW w:w="2268" w:type="dxa"/>
          </w:tcPr>
          <w:p w14:paraId="5E5D4258" w14:textId="77777777" w:rsidR="009F0187" w:rsidRDefault="009F0187" w:rsidP="00BB28F0">
            <w:pPr>
              <w:rPr>
                <w:color w:val="FF0000"/>
              </w:rPr>
            </w:pPr>
            <w:r>
              <w:rPr>
                <w:color w:val="FF0000"/>
              </w:rPr>
              <w:t xml:space="preserve">Termly </w:t>
            </w:r>
          </w:p>
          <w:p w14:paraId="4790D3DF" w14:textId="7BEF523E" w:rsidR="00BB28F0" w:rsidRPr="002A2936" w:rsidRDefault="009F0187" w:rsidP="00BB28F0">
            <w:pPr>
              <w:rPr>
                <w:color w:val="FF0000"/>
              </w:rPr>
            </w:pPr>
            <w:r>
              <w:rPr>
                <w:color w:val="FF0000"/>
              </w:rPr>
              <w:t xml:space="preserve">If/when home learning is required due to self-isolation of individual pupils or local lockdown. </w:t>
            </w:r>
          </w:p>
          <w:p w14:paraId="318BD509" w14:textId="77777777" w:rsidR="0017466F" w:rsidRDefault="0017466F"/>
        </w:tc>
      </w:tr>
      <w:bookmarkEnd w:id="2"/>
    </w:tbl>
    <w:p w14:paraId="4600A96C" w14:textId="26F4971C" w:rsidR="00ED1301" w:rsidRDefault="00ED1301" w:rsidP="00ED1301">
      <w:pPr>
        <w:spacing w:after="0"/>
        <w:rPr>
          <w:b/>
          <w:bCs/>
          <w:sz w:val="28"/>
          <w:szCs w:val="28"/>
          <w:u w:val="single"/>
        </w:rPr>
      </w:pPr>
    </w:p>
    <w:p w14:paraId="22706695" w14:textId="77777777" w:rsidR="00C64FEE" w:rsidRDefault="00C64FEE" w:rsidP="00ED1301">
      <w:pPr>
        <w:spacing w:after="0"/>
      </w:pPr>
      <w:r w:rsidRPr="00C64FEE">
        <w:rPr>
          <w:b/>
          <w:bCs/>
          <w:sz w:val="28"/>
          <w:szCs w:val="28"/>
          <w:u w:val="single"/>
        </w:rPr>
        <w:t>Targeted academic support</w:t>
      </w:r>
      <w:r>
        <w:rPr>
          <w:b/>
          <w:bCs/>
          <w:sz w:val="28"/>
          <w:szCs w:val="28"/>
        </w:rPr>
        <w:t xml:space="preserve"> </w:t>
      </w:r>
      <w:r w:rsidRPr="00C64FEE">
        <w:t>i.e.</w:t>
      </w:r>
      <w:r w:rsidRPr="00C64FEE">
        <w:rPr>
          <w:b/>
          <w:bCs/>
        </w:rPr>
        <w:t xml:space="preserve"> </w:t>
      </w:r>
      <w:proofErr w:type="gramStart"/>
      <w:r w:rsidRPr="00C64FEE">
        <w:t>Structured</w:t>
      </w:r>
      <w:proofErr w:type="gramEnd"/>
      <w:r w:rsidRPr="00C64FEE">
        <w:t xml:space="preserve"> interventions</w:t>
      </w:r>
      <w:r>
        <w:t>, s</w:t>
      </w:r>
      <w:r w:rsidRPr="00C64FEE">
        <w:t>mall group tuition</w:t>
      </w:r>
      <w:r>
        <w:t xml:space="preserve">, </w:t>
      </w:r>
      <w:r w:rsidRPr="00C64FEE">
        <w:t>1:1 support</w:t>
      </w:r>
    </w:p>
    <w:tbl>
      <w:tblPr>
        <w:tblStyle w:val="TableGrid"/>
        <w:tblW w:w="14312" w:type="dxa"/>
        <w:tblLook w:val="04A0" w:firstRow="1" w:lastRow="0" w:firstColumn="1" w:lastColumn="0" w:noHBand="0" w:noVBand="1"/>
      </w:tblPr>
      <w:tblGrid>
        <w:gridCol w:w="848"/>
        <w:gridCol w:w="2645"/>
        <w:gridCol w:w="2447"/>
        <w:gridCol w:w="2082"/>
        <w:gridCol w:w="1162"/>
        <w:gridCol w:w="1658"/>
        <w:gridCol w:w="1286"/>
        <w:gridCol w:w="2184"/>
      </w:tblGrid>
      <w:tr w:rsidR="00AD75B7" w14:paraId="492D1CD1" w14:textId="77777777" w:rsidTr="49449343">
        <w:tc>
          <w:tcPr>
            <w:tcW w:w="848" w:type="dxa"/>
          </w:tcPr>
          <w:p w14:paraId="4D1C2D82" w14:textId="77777777" w:rsidR="00ED1301" w:rsidRPr="006866D4" w:rsidRDefault="00ED1301" w:rsidP="0037565D">
            <w:pPr>
              <w:jc w:val="center"/>
              <w:rPr>
                <w:b/>
                <w:bCs/>
              </w:rPr>
            </w:pPr>
            <w:r w:rsidRPr="006866D4">
              <w:rPr>
                <w:b/>
                <w:bCs/>
              </w:rPr>
              <w:t>Barrier</w:t>
            </w:r>
          </w:p>
        </w:tc>
        <w:tc>
          <w:tcPr>
            <w:tcW w:w="2691" w:type="dxa"/>
          </w:tcPr>
          <w:p w14:paraId="4D0AA3BA" w14:textId="77777777" w:rsidR="00ED1301" w:rsidRPr="006866D4" w:rsidRDefault="00ED1301" w:rsidP="0037565D">
            <w:pPr>
              <w:jc w:val="center"/>
              <w:rPr>
                <w:b/>
                <w:bCs/>
              </w:rPr>
            </w:pPr>
            <w:r>
              <w:rPr>
                <w:b/>
                <w:bCs/>
              </w:rPr>
              <w:t>Action</w:t>
            </w:r>
          </w:p>
        </w:tc>
        <w:tc>
          <w:tcPr>
            <w:tcW w:w="2552" w:type="dxa"/>
          </w:tcPr>
          <w:p w14:paraId="2C37E5B2" w14:textId="77777777" w:rsidR="00ED1301" w:rsidRPr="006866D4" w:rsidRDefault="00ED1301" w:rsidP="0037565D">
            <w:pPr>
              <w:jc w:val="center"/>
              <w:rPr>
                <w:b/>
                <w:bCs/>
              </w:rPr>
            </w:pPr>
            <w:r w:rsidRPr="006866D4">
              <w:rPr>
                <w:b/>
                <w:bCs/>
              </w:rPr>
              <w:t>Desired outcome</w:t>
            </w:r>
          </w:p>
        </w:tc>
        <w:tc>
          <w:tcPr>
            <w:tcW w:w="2126" w:type="dxa"/>
          </w:tcPr>
          <w:p w14:paraId="7773B04F" w14:textId="77777777" w:rsidR="00ED1301" w:rsidRPr="006866D4" w:rsidRDefault="00ED1301" w:rsidP="0037565D">
            <w:pPr>
              <w:jc w:val="center"/>
              <w:rPr>
                <w:b/>
                <w:bCs/>
              </w:rPr>
            </w:pPr>
            <w:r w:rsidRPr="006866D4">
              <w:rPr>
                <w:b/>
                <w:bCs/>
              </w:rPr>
              <w:t>Evidence source</w:t>
            </w:r>
          </w:p>
        </w:tc>
        <w:tc>
          <w:tcPr>
            <w:tcW w:w="850" w:type="dxa"/>
          </w:tcPr>
          <w:p w14:paraId="2C3FADF4" w14:textId="77777777" w:rsidR="00ED1301" w:rsidRPr="006866D4" w:rsidRDefault="00ED1301" w:rsidP="0037565D">
            <w:pPr>
              <w:jc w:val="center"/>
              <w:rPr>
                <w:b/>
                <w:bCs/>
              </w:rPr>
            </w:pPr>
            <w:r w:rsidRPr="006866D4">
              <w:rPr>
                <w:b/>
                <w:bCs/>
              </w:rPr>
              <w:t>Cost</w:t>
            </w:r>
          </w:p>
        </w:tc>
        <w:tc>
          <w:tcPr>
            <w:tcW w:w="1690" w:type="dxa"/>
          </w:tcPr>
          <w:p w14:paraId="220128CF" w14:textId="77777777" w:rsidR="00ED1301" w:rsidRPr="006866D4" w:rsidRDefault="00ED1301" w:rsidP="0037565D">
            <w:pPr>
              <w:jc w:val="center"/>
              <w:rPr>
                <w:b/>
                <w:bCs/>
              </w:rPr>
            </w:pPr>
            <w:r w:rsidRPr="006866D4">
              <w:rPr>
                <w:b/>
                <w:bCs/>
              </w:rPr>
              <w:t>Baseline data</w:t>
            </w:r>
          </w:p>
        </w:tc>
        <w:tc>
          <w:tcPr>
            <w:tcW w:w="1287" w:type="dxa"/>
          </w:tcPr>
          <w:p w14:paraId="21874566" w14:textId="77777777" w:rsidR="00ED1301" w:rsidRPr="006866D4" w:rsidRDefault="00ED1301" w:rsidP="0037565D">
            <w:pPr>
              <w:jc w:val="center"/>
              <w:rPr>
                <w:b/>
                <w:bCs/>
              </w:rPr>
            </w:pPr>
            <w:r w:rsidRPr="006866D4">
              <w:rPr>
                <w:b/>
                <w:bCs/>
              </w:rPr>
              <w:t>Person responsible</w:t>
            </w:r>
          </w:p>
        </w:tc>
        <w:tc>
          <w:tcPr>
            <w:tcW w:w="2268" w:type="dxa"/>
          </w:tcPr>
          <w:p w14:paraId="5D7E165F" w14:textId="77777777" w:rsidR="00ED1301" w:rsidRPr="006866D4" w:rsidRDefault="00ED1301" w:rsidP="0037565D">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9538C2" w14:paraId="05E31E14" w14:textId="77777777" w:rsidTr="49449343">
        <w:tc>
          <w:tcPr>
            <w:tcW w:w="848" w:type="dxa"/>
            <w:shd w:val="clear" w:color="auto" w:fill="FFF2CC" w:themeFill="accent4" w:themeFillTint="33"/>
          </w:tcPr>
          <w:p w14:paraId="62B763C0" w14:textId="67275EE3" w:rsidR="009254E2" w:rsidRDefault="0005684C" w:rsidP="009254E2">
            <w:r>
              <w:t>C</w:t>
            </w:r>
          </w:p>
        </w:tc>
        <w:tc>
          <w:tcPr>
            <w:tcW w:w="2691" w:type="dxa"/>
          </w:tcPr>
          <w:p w14:paraId="5F7B0E46" w14:textId="3C867A80" w:rsidR="009254E2" w:rsidRPr="00FD3A67" w:rsidRDefault="00282E08" w:rsidP="009254E2">
            <w:pPr>
              <w:rPr>
                <w:color w:val="4472C4" w:themeColor="accent1"/>
              </w:rPr>
            </w:pPr>
            <w:r>
              <w:rPr>
                <w:color w:val="4472C4" w:themeColor="accent1"/>
              </w:rPr>
              <w:t>Reading</w:t>
            </w:r>
            <w:r w:rsidR="009254E2" w:rsidRPr="00FD3A67">
              <w:rPr>
                <w:color w:val="4472C4" w:themeColor="accent1"/>
              </w:rPr>
              <w:t xml:space="preserve"> assessments ident</w:t>
            </w:r>
            <w:r w:rsidR="00683A30">
              <w:rPr>
                <w:color w:val="4472C4" w:themeColor="accent1"/>
              </w:rPr>
              <w:t xml:space="preserve">ify children in need of support </w:t>
            </w:r>
          </w:p>
          <w:p w14:paraId="2ECB6695" w14:textId="77777777" w:rsidR="009254E2" w:rsidRPr="00FD3A67" w:rsidRDefault="009254E2" w:rsidP="009254E2">
            <w:pPr>
              <w:rPr>
                <w:color w:val="4472C4" w:themeColor="accent1"/>
              </w:rPr>
            </w:pPr>
          </w:p>
          <w:p w14:paraId="4A64E307" w14:textId="58B60E68" w:rsidR="009254E2" w:rsidRPr="00FD3A67" w:rsidRDefault="67711883" w:rsidP="009254E2">
            <w:pPr>
              <w:rPr>
                <w:color w:val="4472C4" w:themeColor="accent1"/>
              </w:rPr>
            </w:pPr>
            <w:r w:rsidRPr="54CA3C48">
              <w:rPr>
                <w:color w:val="4471C4"/>
              </w:rPr>
              <w:t>1</w:t>
            </w:r>
            <w:r w:rsidR="673B6A7A" w:rsidRPr="54CA3C48">
              <w:rPr>
                <w:color w:val="4471C4"/>
              </w:rPr>
              <w:t>0</w:t>
            </w:r>
            <w:r w:rsidR="0BE262A3" w:rsidRPr="54CA3C48">
              <w:rPr>
                <w:color w:val="4471C4"/>
              </w:rPr>
              <w:t xml:space="preserve"> </w:t>
            </w:r>
            <w:r w:rsidR="3158E47A" w:rsidRPr="54CA3C48">
              <w:rPr>
                <w:color w:val="4471C4"/>
              </w:rPr>
              <w:t>min daily interventions for all identified pupils – basic</w:t>
            </w:r>
            <w:r w:rsidR="460D0845" w:rsidRPr="54CA3C48">
              <w:rPr>
                <w:color w:val="4471C4"/>
              </w:rPr>
              <w:t xml:space="preserve"> </w:t>
            </w:r>
            <w:r w:rsidR="3158E47A" w:rsidRPr="54CA3C48">
              <w:rPr>
                <w:color w:val="4471C4"/>
              </w:rPr>
              <w:t>skills</w:t>
            </w:r>
            <w:r w:rsidR="4F0D3D12" w:rsidRPr="54CA3C48">
              <w:rPr>
                <w:color w:val="4471C4"/>
              </w:rPr>
              <w:t>/phonics/reading</w:t>
            </w:r>
          </w:p>
          <w:p w14:paraId="441E877C" w14:textId="77777777" w:rsidR="009254E2" w:rsidRPr="00FD3A67" w:rsidRDefault="009254E2" w:rsidP="009254E2">
            <w:pPr>
              <w:rPr>
                <w:color w:val="4472C4" w:themeColor="accent1"/>
              </w:rPr>
            </w:pPr>
          </w:p>
          <w:p w14:paraId="4EBE8D62" w14:textId="77777777" w:rsidR="009254E2" w:rsidRDefault="001579A0" w:rsidP="009254E2">
            <w:pPr>
              <w:rPr>
                <w:color w:val="4472C4" w:themeColor="accent1"/>
              </w:rPr>
            </w:pPr>
            <w:r>
              <w:rPr>
                <w:color w:val="4472C4" w:themeColor="accent1"/>
              </w:rPr>
              <w:lastRenderedPageBreak/>
              <w:t>New reading books purchased in line with the Sounds Write phonics programme for KS2</w:t>
            </w:r>
          </w:p>
          <w:p w14:paraId="276678C9" w14:textId="77777777" w:rsidR="000F6D98" w:rsidRDefault="000F6D98" w:rsidP="009254E2">
            <w:pPr>
              <w:rPr>
                <w:color w:val="4472C4" w:themeColor="accent1"/>
              </w:rPr>
            </w:pPr>
          </w:p>
          <w:p w14:paraId="1AFFF70F" w14:textId="77777777" w:rsidR="001579A0" w:rsidRDefault="001579A0" w:rsidP="009254E2">
            <w:pPr>
              <w:rPr>
                <w:color w:val="4472C4" w:themeColor="accent1"/>
              </w:rPr>
            </w:pPr>
          </w:p>
          <w:p w14:paraId="307AB72F" w14:textId="7F42D731" w:rsidR="001579A0" w:rsidRPr="00FD3A67" w:rsidRDefault="001579A0" w:rsidP="009254E2">
            <w:pPr>
              <w:rPr>
                <w:color w:val="4472C4" w:themeColor="accent1"/>
              </w:rPr>
            </w:pPr>
          </w:p>
        </w:tc>
        <w:tc>
          <w:tcPr>
            <w:tcW w:w="2552" w:type="dxa"/>
          </w:tcPr>
          <w:p w14:paraId="3D534A9E" w14:textId="77777777" w:rsidR="009254E2" w:rsidRDefault="009254E2" w:rsidP="009254E2">
            <w:pPr>
              <w:rPr>
                <w:color w:val="4472C4" w:themeColor="accent1"/>
              </w:rPr>
            </w:pPr>
            <w:r w:rsidRPr="00FD3A67">
              <w:rPr>
                <w:color w:val="4472C4" w:themeColor="accent1"/>
              </w:rPr>
              <w:lastRenderedPageBreak/>
              <w:t>Progress is accelerated termly to ensure pupils are able to access age appropriate learning materials.</w:t>
            </w:r>
          </w:p>
          <w:p w14:paraId="3F626771" w14:textId="77777777" w:rsidR="000F6D98" w:rsidRDefault="000F6D98" w:rsidP="009254E2">
            <w:pPr>
              <w:rPr>
                <w:color w:val="4472C4" w:themeColor="accent1"/>
              </w:rPr>
            </w:pPr>
          </w:p>
          <w:p w14:paraId="1594208E" w14:textId="77777777" w:rsidR="000F6D98" w:rsidRDefault="000F6D98" w:rsidP="009254E2">
            <w:pPr>
              <w:rPr>
                <w:color w:val="4472C4" w:themeColor="accent1"/>
              </w:rPr>
            </w:pPr>
            <w:r>
              <w:rPr>
                <w:color w:val="4472C4" w:themeColor="accent1"/>
              </w:rPr>
              <w:t xml:space="preserve">The gap will be closed between those children at ARE and above and </w:t>
            </w:r>
            <w:r>
              <w:rPr>
                <w:color w:val="4472C4" w:themeColor="accent1"/>
              </w:rPr>
              <w:lastRenderedPageBreak/>
              <w:t>those lower attainting pupils.</w:t>
            </w:r>
          </w:p>
          <w:p w14:paraId="3153E6EE" w14:textId="77777777" w:rsidR="000F6D98" w:rsidRDefault="000F6D98" w:rsidP="009254E2">
            <w:pPr>
              <w:rPr>
                <w:color w:val="4472C4" w:themeColor="accent1"/>
              </w:rPr>
            </w:pPr>
          </w:p>
          <w:p w14:paraId="6ED25845" w14:textId="0FA42685" w:rsidR="000F6D98" w:rsidRPr="00FD3A67" w:rsidRDefault="000F6D98" w:rsidP="009254E2">
            <w:pPr>
              <w:rPr>
                <w:color w:val="4472C4" w:themeColor="accent1"/>
              </w:rPr>
            </w:pPr>
            <w:r>
              <w:rPr>
                <w:color w:val="4472C4" w:themeColor="accent1"/>
              </w:rPr>
              <w:t xml:space="preserve">A culture of reading for pleasure will be developed throughout the school. </w:t>
            </w:r>
          </w:p>
        </w:tc>
        <w:tc>
          <w:tcPr>
            <w:tcW w:w="2126" w:type="dxa"/>
          </w:tcPr>
          <w:p w14:paraId="65D3AB42" w14:textId="77777777" w:rsidR="009254E2" w:rsidRPr="00FD3A67" w:rsidRDefault="009254E2" w:rsidP="009254E2">
            <w:pPr>
              <w:rPr>
                <w:color w:val="4472C4" w:themeColor="accent1"/>
              </w:rPr>
            </w:pPr>
            <w:r w:rsidRPr="00FD3A67">
              <w:rPr>
                <w:color w:val="4472C4" w:themeColor="accent1"/>
              </w:rPr>
              <w:lastRenderedPageBreak/>
              <w:t>Education Endowment Fund Teaching and Learning Toolkit:</w:t>
            </w:r>
          </w:p>
          <w:p w14:paraId="045E0222" w14:textId="77777777" w:rsidR="009254E2" w:rsidRPr="00FD3A67" w:rsidRDefault="009254E2" w:rsidP="009254E2">
            <w:pPr>
              <w:rPr>
                <w:color w:val="4472C4" w:themeColor="accent1"/>
              </w:rPr>
            </w:pPr>
          </w:p>
          <w:p w14:paraId="339FD509" w14:textId="77777777" w:rsidR="006841FF" w:rsidRPr="00FD3A67" w:rsidRDefault="006841FF" w:rsidP="006841FF">
            <w:pPr>
              <w:rPr>
                <w:color w:val="4472C4" w:themeColor="accent1"/>
              </w:rPr>
            </w:pPr>
            <w:r w:rsidRPr="00FD3A67">
              <w:rPr>
                <w:color w:val="4472C4" w:themeColor="accent1"/>
              </w:rPr>
              <w:t>Small Group Tuition (+4)</w:t>
            </w:r>
          </w:p>
          <w:p w14:paraId="2E99F658" w14:textId="15BC947C" w:rsidR="009254E2" w:rsidRPr="00FD3A67" w:rsidRDefault="006841FF" w:rsidP="006841FF">
            <w:pPr>
              <w:rPr>
                <w:color w:val="4472C4" w:themeColor="accent1"/>
              </w:rPr>
            </w:pPr>
            <w:r w:rsidRPr="00FD3A67">
              <w:rPr>
                <w:color w:val="4472C4" w:themeColor="accent1"/>
              </w:rPr>
              <w:t>Feedback (+8)</w:t>
            </w:r>
            <w:r w:rsidR="009254E2" w:rsidRPr="00FD3A67">
              <w:rPr>
                <w:color w:val="4472C4" w:themeColor="accent1"/>
              </w:rPr>
              <w:t xml:space="preserve"> </w:t>
            </w:r>
          </w:p>
        </w:tc>
        <w:tc>
          <w:tcPr>
            <w:tcW w:w="850" w:type="dxa"/>
          </w:tcPr>
          <w:p w14:paraId="362E5BE4" w14:textId="022F96CD" w:rsidR="00683A30" w:rsidRDefault="00683A30" w:rsidP="49449343">
            <w:pPr>
              <w:rPr>
                <w:color w:val="4471C4"/>
              </w:rPr>
            </w:pPr>
            <w:r>
              <w:rPr>
                <w:color w:val="4471C4"/>
              </w:rPr>
              <w:t xml:space="preserve">Resources </w:t>
            </w:r>
          </w:p>
          <w:p w14:paraId="76B8F2A3" w14:textId="54EF4E54" w:rsidR="00683A30" w:rsidRDefault="00683A30" w:rsidP="49449343">
            <w:pPr>
              <w:rPr>
                <w:color w:val="4471C4"/>
              </w:rPr>
            </w:pPr>
            <w:r>
              <w:rPr>
                <w:color w:val="4471C4"/>
              </w:rPr>
              <w:t xml:space="preserve">NFER tests Y2-6 £ </w:t>
            </w:r>
            <w:r w:rsidR="00F13BC6">
              <w:rPr>
                <w:color w:val="4471C4"/>
              </w:rPr>
              <w:t>90</w:t>
            </w:r>
          </w:p>
          <w:p w14:paraId="1B901984" w14:textId="77777777" w:rsidR="00683A30" w:rsidRDefault="00683A30" w:rsidP="49449343">
            <w:pPr>
              <w:rPr>
                <w:color w:val="4471C4"/>
              </w:rPr>
            </w:pPr>
          </w:p>
          <w:p w14:paraId="68B5A8E7" w14:textId="220323DC" w:rsidR="009254E2" w:rsidRDefault="40209C0E" w:rsidP="49449343">
            <w:pPr>
              <w:rPr>
                <w:color w:val="4471C4"/>
              </w:rPr>
            </w:pPr>
            <w:r w:rsidRPr="49449343">
              <w:rPr>
                <w:color w:val="4471C4"/>
              </w:rPr>
              <w:t xml:space="preserve">TA costs </w:t>
            </w:r>
            <w:r w:rsidR="006841FF" w:rsidRPr="49449343">
              <w:rPr>
                <w:color w:val="4471C4"/>
              </w:rPr>
              <w:t>£</w:t>
            </w:r>
            <w:r w:rsidR="00884A10">
              <w:rPr>
                <w:color w:val="4471C4"/>
              </w:rPr>
              <w:t>832</w:t>
            </w:r>
          </w:p>
          <w:p w14:paraId="1C1D9770" w14:textId="77777777" w:rsidR="001579A0" w:rsidRDefault="001579A0" w:rsidP="49449343">
            <w:pPr>
              <w:rPr>
                <w:color w:val="4471C4"/>
              </w:rPr>
            </w:pPr>
          </w:p>
          <w:p w14:paraId="5193B57F" w14:textId="77777777" w:rsidR="001579A0" w:rsidRDefault="001579A0" w:rsidP="001579A0">
            <w:pPr>
              <w:rPr>
                <w:color w:val="4472C4" w:themeColor="accent1"/>
              </w:rPr>
            </w:pPr>
          </w:p>
          <w:p w14:paraId="57C9AB57" w14:textId="77777777" w:rsidR="001579A0" w:rsidRDefault="001579A0" w:rsidP="001579A0">
            <w:pPr>
              <w:rPr>
                <w:color w:val="4472C4" w:themeColor="accent1"/>
              </w:rPr>
            </w:pPr>
          </w:p>
          <w:p w14:paraId="52283D15" w14:textId="77777777" w:rsidR="00683A30" w:rsidRDefault="00683A30" w:rsidP="001579A0">
            <w:pPr>
              <w:rPr>
                <w:color w:val="4472C4" w:themeColor="accent1"/>
              </w:rPr>
            </w:pPr>
          </w:p>
          <w:p w14:paraId="638C5B71" w14:textId="18C01694" w:rsidR="001579A0" w:rsidRPr="00FD3A67" w:rsidRDefault="001579A0" w:rsidP="001579A0">
            <w:pPr>
              <w:rPr>
                <w:color w:val="4472C4" w:themeColor="accent1"/>
              </w:rPr>
            </w:pPr>
            <w:r>
              <w:rPr>
                <w:color w:val="4472C4" w:themeColor="accent1"/>
              </w:rPr>
              <w:t>£500</w:t>
            </w:r>
          </w:p>
        </w:tc>
        <w:tc>
          <w:tcPr>
            <w:tcW w:w="1690" w:type="dxa"/>
          </w:tcPr>
          <w:p w14:paraId="12C4A172" w14:textId="06C8C063" w:rsidR="00F13BC6" w:rsidRDefault="002A2936" w:rsidP="000F6D98">
            <w:pPr>
              <w:pStyle w:val="NoSpacing"/>
            </w:pPr>
            <w:r w:rsidRPr="000F6D98">
              <w:rPr>
                <w:color w:val="0070C0"/>
              </w:rPr>
              <w:lastRenderedPageBreak/>
              <w:t xml:space="preserve">Determined from </w:t>
            </w:r>
            <w:r w:rsidR="009538C2" w:rsidRPr="000F6D98">
              <w:rPr>
                <w:color w:val="0070C0"/>
              </w:rPr>
              <w:t xml:space="preserve">baseline </w:t>
            </w:r>
            <w:r w:rsidR="000F6D98" w:rsidRPr="000F6D98">
              <w:rPr>
                <w:color w:val="0070C0"/>
              </w:rPr>
              <w:t xml:space="preserve">assessments made </w:t>
            </w:r>
            <w:r w:rsidRPr="000F6D98">
              <w:rPr>
                <w:color w:val="0070C0"/>
              </w:rPr>
              <w:t xml:space="preserve">at </w:t>
            </w:r>
            <w:r w:rsidR="00282E08" w:rsidRPr="000F6D98">
              <w:rPr>
                <w:color w:val="0070C0"/>
              </w:rPr>
              <w:t>t</w:t>
            </w:r>
            <w:r w:rsidRPr="000F6D98">
              <w:rPr>
                <w:color w:val="0070C0"/>
              </w:rPr>
              <w:t>he start of the autumn term</w:t>
            </w:r>
          </w:p>
          <w:p w14:paraId="5E89416C" w14:textId="529FB38F" w:rsidR="00F13BC6" w:rsidRDefault="00F13BC6" w:rsidP="00F13BC6"/>
          <w:p w14:paraId="53B8614B" w14:textId="63796D1C" w:rsidR="00F13BC6" w:rsidRDefault="00F13BC6" w:rsidP="00F13BC6"/>
          <w:p w14:paraId="445BB678" w14:textId="77777777" w:rsidR="009254E2" w:rsidRPr="00F13BC6" w:rsidRDefault="009254E2" w:rsidP="00F13BC6">
            <w:pPr>
              <w:jc w:val="center"/>
            </w:pPr>
          </w:p>
        </w:tc>
        <w:tc>
          <w:tcPr>
            <w:tcW w:w="1287" w:type="dxa"/>
          </w:tcPr>
          <w:p w14:paraId="1C724930" w14:textId="7C949EC0" w:rsidR="009254E2" w:rsidRPr="00FD3A67" w:rsidRDefault="00282E08" w:rsidP="009254E2">
            <w:pPr>
              <w:rPr>
                <w:color w:val="4472C4" w:themeColor="accent1"/>
              </w:rPr>
            </w:pPr>
            <w:r>
              <w:rPr>
                <w:color w:val="4472C4" w:themeColor="accent1"/>
              </w:rPr>
              <w:t>English</w:t>
            </w:r>
            <w:r w:rsidR="00797855">
              <w:rPr>
                <w:color w:val="4472C4" w:themeColor="accent1"/>
              </w:rPr>
              <w:t xml:space="preserve"> L</w:t>
            </w:r>
            <w:r w:rsidR="002A2936" w:rsidRPr="00FD3A67">
              <w:rPr>
                <w:color w:val="4472C4" w:themeColor="accent1"/>
              </w:rPr>
              <w:t>ead</w:t>
            </w:r>
            <w:r w:rsidR="009538C2">
              <w:rPr>
                <w:color w:val="4472C4" w:themeColor="accent1"/>
              </w:rPr>
              <w:t>er</w:t>
            </w:r>
          </w:p>
        </w:tc>
        <w:tc>
          <w:tcPr>
            <w:tcW w:w="2268" w:type="dxa"/>
          </w:tcPr>
          <w:p w14:paraId="77899AA3" w14:textId="771515C1" w:rsidR="00BB28F0" w:rsidRDefault="00797855" w:rsidP="00BB28F0">
            <w:pPr>
              <w:rPr>
                <w:color w:val="FF0000"/>
              </w:rPr>
            </w:pPr>
            <w:r>
              <w:rPr>
                <w:color w:val="FF0000"/>
              </w:rPr>
              <w:t>Termly</w:t>
            </w:r>
          </w:p>
          <w:p w14:paraId="3A90D0FE" w14:textId="66E9CD54" w:rsidR="00797855" w:rsidRPr="002A2936" w:rsidRDefault="00797855" w:rsidP="00BB28F0">
            <w:pPr>
              <w:rPr>
                <w:color w:val="FF0000"/>
              </w:rPr>
            </w:pPr>
            <w:r>
              <w:rPr>
                <w:color w:val="FF0000"/>
              </w:rPr>
              <w:t>Ongoing at the end of each intervention session</w:t>
            </w:r>
          </w:p>
          <w:p w14:paraId="070C81FB" w14:textId="396B7FAB" w:rsidR="009254E2" w:rsidRDefault="009254E2" w:rsidP="00BB28F0"/>
        </w:tc>
      </w:tr>
      <w:tr w:rsidR="009538C2" w14:paraId="19497952" w14:textId="77777777" w:rsidTr="49449343">
        <w:tc>
          <w:tcPr>
            <w:tcW w:w="848" w:type="dxa"/>
            <w:shd w:val="clear" w:color="auto" w:fill="FFF2CC" w:themeFill="accent4" w:themeFillTint="33"/>
          </w:tcPr>
          <w:p w14:paraId="750598F7" w14:textId="304151F3" w:rsidR="009254E2" w:rsidRDefault="0005684C" w:rsidP="009254E2">
            <w:r>
              <w:t>D</w:t>
            </w:r>
          </w:p>
        </w:tc>
        <w:tc>
          <w:tcPr>
            <w:tcW w:w="2691" w:type="dxa"/>
          </w:tcPr>
          <w:p w14:paraId="593BC9EE" w14:textId="553D7C68" w:rsidR="009254E2" w:rsidRPr="00FD3A67" w:rsidRDefault="1A381F03" w:rsidP="009254E2">
            <w:pPr>
              <w:rPr>
                <w:color w:val="4472C4" w:themeColor="accent1"/>
              </w:rPr>
            </w:pPr>
            <w:r w:rsidRPr="0C5B573C">
              <w:rPr>
                <w:color w:val="4472C4" w:themeColor="accent1"/>
              </w:rPr>
              <w:t xml:space="preserve">Small group and </w:t>
            </w:r>
            <w:r w:rsidR="3158E47A" w:rsidRPr="0C5B573C">
              <w:rPr>
                <w:color w:val="4472C4" w:themeColor="accent1"/>
              </w:rPr>
              <w:t xml:space="preserve">1:1 </w:t>
            </w:r>
            <w:r w:rsidRPr="0C5B573C">
              <w:rPr>
                <w:color w:val="4472C4" w:themeColor="accent1"/>
              </w:rPr>
              <w:t xml:space="preserve">Maths </w:t>
            </w:r>
            <w:r w:rsidR="3158E47A" w:rsidRPr="0C5B573C">
              <w:rPr>
                <w:color w:val="4472C4" w:themeColor="accent1"/>
              </w:rPr>
              <w:t>Intervention with identified pupils.</w:t>
            </w:r>
          </w:p>
          <w:p w14:paraId="0B39F7C8" w14:textId="648E260A" w:rsidR="0C5B573C" w:rsidRDefault="0C5B573C" w:rsidP="0C5B573C">
            <w:pPr>
              <w:rPr>
                <w:color w:val="4472C4" w:themeColor="accent1"/>
              </w:rPr>
            </w:pPr>
          </w:p>
          <w:p w14:paraId="5BB428FA" w14:textId="77777777" w:rsidR="002A2936" w:rsidRPr="00FD3A67" w:rsidRDefault="002A2936" w:rsidP="009254E2">
            <w:pPr>
              <w:rPr>
                <w:color w:val="4472C4" w:themeColor="accent1"/>
              </w:rPr>
            </w:pPr>
          </w:p>
          <w:p w14:paraId="4F92FDCD" w14:textId="256A8078" w:rsidR="002A2936" w:rsidRPr="00FD3A67" w:rsidRDefault="002A2936" w:rsidP="009254E2">
            <w:pPr>
              <w:rPr>
                <w:color w:val="4472C4" w:themeColor="accent1"/>
              </w:rPr>
            </w:pPr>
            <w:r w:rsidRPr="00FD3A67">
              <w:rPr>
                <w:color w:val="4472C4" w:themeColor="accent1"/>
              </w:rPr>
              <w:t xml:space="preserve">Baseline data from </w:t>
            </w:r>
            <w:r w:rsidR="00282E08">
              <w:rPr>
                <w:color w:val="4472C4" w:themeColor="accent1"/>
              </w:rPr>
              <w:t xml:space="preserve">maths assessment </w:t>
            </w:r>
            <w:r w:rsidRPr="00FD3A67">
              <w:rPr>
                <w:color w:val="4472C4" w:themeColor="accent1"/>
              </w:rPr>
              <w:t>tests.</w:t>
            </w:r>
          </w:p>
        </w:tc>
        <w:tc>
          <w:tcPr>
            <w:tcW w:w="2552" w:type="dxa"/>
          </w:tcPr>
          <w:p w14:paraId="551F77DD" w14:textId="3BEB5F02" w:rsidR="009254E2" w:rsidRPr="00FD3A67" w:rsidRDefault="00C52A65" w:rsidP="009254E2">
            <w:pPr>
              <w:rPr>
                <w:color w:val="4472C4" w:themeColor="accent1"/>
              </w:rPr>
            </w:pPr>
            <w:r>
              <w:rPr>
                <w:color w:val="4472C4" w:themeColor="accent1"/>
              </w:rPr>
              <w:t>Maths</w:t>
            </w:r>
            <w:r w:rsidR="009254E2" w:rsidRPr="00FD3A67">
              <w:rPr>
                <w:color w:val="4472C4" w:themeColor="accent1"/>
              </w:rPr>
              <w:t xml:space="preserve"> </w:t>
            </w:r>
            <w:r>
              <w:rPr>
                <w:color w:val="4472C4" w:themeColor="accent1"/>
              </w:rPr>
              <w:t>r</w:t>
            </w:r>
            <w:r w:rsidR="009254E2" w:rsidRPr="00FD3A67">
              <w:rPr>
                <w:color w:val="4472C4" w:themeColor="accent1"/>
              </w:rPr>
              <w:t xml:space="preserve">esults to improve </w:t>
            </w:r>
            <w:r w:rsidR="009C4C6B">
              <w:rPr>
                <w:color w:val="4472C4" w:themeColor="accent1"/>
              </w:rPr>
              <w:t>and demonstrate gaps closing</w:t>
            </w:r>
            <w:r w:rsidR="004B5A1E">
              <w:rPr>
                <w:color w:val="4472C4" w:themeColor="accent1"/>
              </w:rPr>
              <w:t>.</w:t>
            </w:r>
          </w:p>
        </w:tc>
        <w:tc>
          <w:tcPr>
            <w:tcW w:w="2126" w:type="dxa"/>
          </w:tcPr>
          <w:p w14:paraId="23A29BDD" w14:textId="77777777" w:rsidR="009254E2" w:rsidRPr="00FD3A67" w:rsidRDefault="009254E2" w:rsidP="009254E2">
            <w:pPr>
              <w:rPr>
                <w:color w:val="4472C4" w:themeColor="accent1"/>
              </w:rPr>
            </w:pPr>
            <w:r w:rsidRPr="00FD3A67">
              <w:rPr>
                <w:color w:val="4472C4" w:themeColor="accent1"/>
              </w:rPr>
              <w:t>Education Endowment Fund Teaching and Learning Toolkit:</w:t>
            </w:r>
          </w:p>
          <w:p w14:paraId="304243E7" w14:textId="6B5EC198" w:rsidR="009254E2" w:rsidRDefault="009254E2" w:rsidP="009254E2">
            <w:pPr>
              <w:rPr>
                <w:color w:val="4472C4" w:themeColor="accent1"/>
              </w:rPr>
            </w:pPr>
          </w:p>
          <w:p w14:paraId="2D35E698" w14:textId="77777777" w:rsidR="006841FF" w:rsidRPr="00FD3A67" w:rsidRDefault="006841FF" w:rsidP="009254E2">
            <w:pPr>
              <w:rPr>
                <w:color w:val="4472C4" w:themeColor="accent1"/>
              </w:rPr>
            </w:pPr>
          </w:p>
          <w:p w14:paraId="7A4F3605" w14:textId="77777777" w:rsidR="006841FF" w:rsidRPr="00FD3A67" w:rsidRDefault="009254E2" w:rsidP="006841FF">
            <w:pPr>
              <w:rPr>
                <w:color w:val="4472C4" w:themeColor="accent1"/>
              </w:rPr>
            </w:pPr>
            <w:r w:rsidRPr="00FD3A67">
              <w:rPr>
                <w:color w:val="4472C4" w:themeColor="accent1"/>
              </w:rPr>
              <w:t xml:space="preserve"> </w:t>
            </w:r>
            <w:r w:rsidR="006841FF" w:rsidRPr="00FD3A67">
              <w:rPr>
                <w:color w:val="4472C4" w:themeColor="accent1"/>
              </w:rPr>
              <w:t>Feedback (+8)</w:t>
            </w:r>
          </w:p>
          <w:p w14:paraId="4BD8691C" w14:textId="77777777" w:rsidR="006841FF" w:rsidRPr="00FD3A67" w:rsidRDefault="006841FF" w:rsidP="006841FF">
            <w:pPr>
              <w:rPr>
                <w:color w:val="4472C4" w:themeColor="accent1"/>
              </w:rPr>
            </w:pPr>
            <w:r w:rsidRPr="00FD3A67">
              <w:rPr>
                <w:color w:val="4472C4" w:themeColor="accent1"/>
              </w:rPr>
              <w:t>1:1 Tuition (+5)</w:t>
            </w:r>
          </w:p>
          <w:p w14:paraId="4845246C" w14:textId="77777777" w:rsidR="006841FF" w:rsidRPr="00FD3A67" w:rsidRDefault="006841FF" w:rsidP="006841FF">
            <w:pPr>
              <w:rPr>
                <w:color w:val="4472C4" w:themeColor="accent1"/>
              </w:rPr>
            </w:pPr>
            <w:r w:rsidRPr="00FD3A67">
              <w:rPr>
                <w:color w:val="4472C4" w:themeColor="accent1"/>
              </w:rPr>
              <w:t>Reading Comprehension Strategies (+6)</w:t>
            </w:r>
          </w:p>
          <w:p w14:paraId="2ABE780A" w14:textId="1F93277E" w:rsidR="009254E2" w:rsidRPr="00FD3A67" w:rsidRDefault="006841FF" w:rsidP="006841FF">
            <w:pPr>
              <w:rPr>
                <w:color w:val="4472C4" w:themeColor="accent1"/>
              </w:rPr>
            </w:pPr>
            <w:r w:rsidRPr="00FD3A67">
              <w:rPr>
                <w:color w:val="4472C4" w:themeColor="accent1"/>
              </w:rPr>
              <w:t>Teaching Assistants (+1)</w:t>
            </w:r>
          </w:p>
        </w:tc>
        <w:tc>
          <w:tcPr>
            <w:tcW w:w="850" w:type="dxa"/>
          </w:tcPr>
          <w:p w14:paraId="769A07E7" w14:textId="69A11854" w:rsidR="000F6D98" w:rsidRDefault="002A2936" w:rsidP="0C5B573C">
            <w:pPr>
              <w:rPr>
                <w:color w:val="4471C4"/>
              </w:rPr>
            </w:pPr>
            <w:r w:rsidRPr="49449343">
              <w:rPr>
                <w:color w:val="4471C4"/>
              </w:rPr>
              <w:t>TA costs £</w:t>
            </w:r>
            <w:r w:rsidR="00884A10">
              <w:rPr>
                <w:color w:val="4471C4"/>
              </w:rPr>
              <w:t>7</w:t>
            </w:r>
            <w:r w:rsidR="00F13BC6">
              <w:rPr>
                <w:color w:val="4471C4"/>
              </w:rPr>
              <w:t>5</w:t>
            </w:r>
            <w:r w:rsidR="00082E6C">
              <w:rPr>
                <w:color w:val="4471C4"/>
              </w:rPr>
              <w:t>0</w:t>
            </w:r>
          </w:p>
          <w:p w14:paraId="7CB47D1B" w14:textId="77777777" w:rsidR="00683A30" w:rsidRDefault="00683A30" w:rsidP="0C5B573C">
            <w:pPr>
              <w:rPr>
                <w:color w:val="4472C4" w:themeColor="accent1"/>
              </w:rPr>
            </w:pPr>
          </w:p>
          <w:p w14:paraId="680FD85E" w14:textId="734A7986" w:rsidR="000F6D98" w:rsidRPr="00633F0F" w:rsidRDefault="00CE40CD" w:rsidP="0C5B573C">
            <w:pPr>
              <w:rPr>
                <w:color w:val="4472C4" w:themeColor="accent1"/>
              </w:rPr>
            </w:pPr>
            <w:proofErr w:type="spellStart"/>
            <w:r>
              <w:rPr>
                <w:color w:val="4472C4" w:themeColor="accent1"/>
              </w:rPr>
              <w:t>Mathletics</w:t>
            </w:r>
            <w:proofErr w:type="spellEnd"/>
            <w:r>
              <w:rPr>
                <w:color w:val="4472C4" w:themeColor="accent1"/>
              </w:rPr>
              <w:t xml:space="preserve"> £297</w:t>
            </w:r>
          </w:p>
        </w:tc>
        <w:tc>
          <w:tcPr>
            <w:tcW w:w="1690" w:type="dxa"/>
          </w:tcPr>
          <w:p w14:paraId="07C1E882" w14:textId="6B8FD62A" w:rsidR="009254E2" w:rsidRPr="00683A30" w:rsidRDefault="00633F0F" w:rsidP="009254E2">
            <w:pPr>
              <w:rPr>
                <w:rFonts w:ascii="Calibri" w:hAnsi="Calibri" w:cs="Calibri"/>
                <w:color w:val="4472C4" w:themeColor="accent1"/>
              </w:rPr>
            </w:pPr>
            <w:r w:rsidRPr="00683A30">
              <w:rPr>
                <w:rFonts w:ascii="Calibri" w:hAnsi="Calibri" w:cs="Calibri"/>
                <w:iCs/>
                <w:color w:val="4472C4" w:themeColor="accent1"/>
              </w:rPr>
              <w:t xml:space="preserve">Determined from </w:t>
            </w:r>
            <w:r w:rsidR="009538C2" w:rsidRPr="00683A30">
              <w:rPr>
                <w:rFonts w:ascii="Calibri" w:hAnsi="Calibri" w:cs="Calibri"/>
                <w:iCs/>
                <w:color w:val="4472C4" w:themeColor="accent1"/>
              </w:rPr>
              <w:t xml:space="preserve">baseline </w:t>
            </w:r>
            <w:r w:rsidRPr="00683A30">
              <w:rPr>
                <w:rFonts w:ascii="Calibri" w:hAnsi="Calibri" w:cs="Calibri"/>
                <w:iCs/>
                <w:color w:val="4472C4" w:themeColor="accent1"/>
              </w:rPr>
              <w:t>assessments made at the start of the autumn term</w:t>
            </w:r>
          </w:p>
        </w:tc>
        <w:tc>
          <w:tcPr>
            <w:tcW w:w="1287" w:type="dxa"/>
          </w:tcPr>
          <w:p w14:paraId="3501870A" w14:textId="65F771B9" w:rsidR="009254E2" w:rsidRPr="00FD3A67" w:rsidRDefault="00633F0F" w:rsidP="009254E2">
            <w:pPr>
              <w:rPr>
                <w:color w:val="4472C4" w:themeColor="accent1"/>
              </w:rPr>
            </w:pPr>
            <w:r>
              <w:rPr>
                <w:color w:val="4472C4" w:themeColor="accent1"/>
              </w:rPr>
              <w:t xml:space="preserve">Maths </w:t>
            </w:r>
            <w:r w:rsidR="002A2936" w:rsidRPr="00FD3A67">
              <w:rPr>
                <w:color w:val="4472C4" w:themeColor="accent1"/>
              </w:rPr>
              <w:t>lead</w:t>
            </w:r>
            <w:r w:rsidR="009538C2">
              <w:rPr>
                <w:color w:val="4472C4" w:themeColor="accent1"/>
              </w:rPr>
              <w:t>er</w:t>
            </w:r>
          </w:p>
        </w:tc>
        <w:tc>
          <w:tcPr>
            <w:tcW w:w="2268" w:type="dxa"/>
          </w:tcPr>
          <w:p w14:paraId="741DC28A" w14:textId="77777777" w:rsidR="00797855" w:rsidRDefault="00797855" w:rsidP="00797855">
            <w:pPr>
              <w:rPr>
                <w:color w:val="FF0000"/>
              </w:rPr>
            </w:pPr>
            <w:r>
              <w:rPr>
                <w:color w:val="FF0000"/>
              </w:rPr>
              <w:t>Termly</w:t>
            </w:r>
          </w:p>
          <w:p w14:paraId="34BD13CE" w14:textId="77777777" w:rsidR="00797855" w:rsidRPr="002A2936" w:rsidRDefault="00797855" w:rsidP="00797855">
            <w:pPr>
              <w:rPr>
                <w:color w:val="FF0000"/>
              </w:rPr>
            </w:pPr>
            <w:r>
              <w:rPr>
                <w:color w:val="FF0000"/>
              </w:rPr>
              <w:t>Ongoing at the end of each intervention session</w:t>
            </w:r>
          </w:p>
          <w:p w14:paraId="74FE53CD" w14:textId="0BF0714F" w:rsidR="00BB28F0" w:rsidRPr="002A2936" w:rsidRDefault="00BB28F0" w:rsidP="00BB28F0">
            <w:pPr>
              <w:rPr>
                <w:color w:val="FF0000"/>
              </w:rPr>
            </w:pPr>
          </w:p>
          <w:p w14:paraId="04DFD05F" w14:textId="1B9CC489" w:rsidR="009254E2" w:rsidRDefault="009254E2" w:rsidP="00BB28F0"/>
        </w:tc>
      </w:tr>
      <w:tr w:rsidR="001579A0" w14:paraId="68B99C1A" w14:textId="77777777" w:rsidTr="49449343">
        <w:tc>
          <w:tcPr>
            <w:tcW w:w="848" w:type="dxa"/>
            <w:shd w:val="clear" w:color="auto" w:fill="FFF2CC" w:themeFill="accent4" w:themeFillTint="33"/>
          </w:tcPr>
          <w:p w14:paraId="784D2BB4" w14:textId="0D2308DD" w:rsidR="001579A0" w:rsidRDefault="001579A0" w:rsidP="009254E2">
            <w:r>
              <w:t>E</w:t>
            </w:r>
          </w:p>
        </w:tc>
        <w:tc>
          <w:tcPr>
            <w:tcW w:w="2691" w:type="dxa"/>
          </w:tcPr>
          <w:p w14:paraId="36EFCD58" w14:textId="63264C68" w:rsidR="001579A0" w:rsidRDefault="000F6D98" w:rsidP="009254E2">
            <w:pPr>
              <w:rPr>
                <w:color w:val="4472C4" w:themeColor="accent1"/>
              </w:rPr>
            </w:pPr>
            <w:r>
              <w:rPr>
                <w:color w:val="4472C4" w:themeColor="accent1"/>
              </w:rPr>
              <w:t>Pupils’ basic writing skills are further improved through regular practice</w:t>
            </w:r>
          </w:p>
          <w:p w14:paraId="6E1CCD73" w14:textId="77777777" w:rsidR="000F6D98" w:rsidRDefault="000F6D98" w:rsidP="009254E2">
            <w:pPr>
              <w:rPr>
                <w:color w:val="4472C4" w:themeColor="accent1"/>
              </w:rPr>
            </w:pPr>
          </w:p>
          <w:p w14:paraId="380DB7BA" w14:textId="77777777" w:rsidR="000F6D98" w:rsidRDefault="000F6D98" w:rsidP="009254E2">
            <w:pPr>
              <w:rPr>
                <w:color w:val="4472C4" w:themeColor="accent1"/>
              </w:rPr>
            </w:pPr>
            <w:r>
              <w:rPr>
                <w:color w:val="4472C4" w:themeColor="accent1"/>
              </w:rPr>
              <w:t>Pupils’ spelling improves through daily practice (Sounds Write)</w:t>
            </w:r>
          </w:p>
          <w:p w14:paraId="301253C2" w14:textId="77777777" w:rsidR="000F6D98" w:rsidRDefault="000F6D98" w:rsidP="009254E2">
            <w:pPr>
              <w:rPr>
                <w:color w:val="4472C4" w:themeColor="accent1"/>
              </w:rPr>
            </w:pPr>
          </w:p>
          <w:p w14:paraId="43928BDB" w14:textId="62B8A21C" w:rsidR="000F6D98" w:rsidRPr="0C5B573C" w:rsidRDefault="000F6D98" w:rsidP="009254E2">
            <w:pPr>
              <w:rPr>
                <w:color w:val="4472C4" w:themeColor="accent1"/>
              </w:rPr>
            </w:pPr>
            <w:r>
              <w:rPr>
                <w:color w:val="4472C4" w:themeColor="accent1"/>
              </w:rPr>
              <w:t xml:space="preserve">Children have targeted support across the curriculum to write sustained pieces.  </w:t>
            </w:r>
          </w:p>
        </w:tc>
        <w:tc>
          <w:tcPr>
            <w:tcW w:w="2552" w:type="dxa"/>
          </w:tcPr>
          <w:p w14:paraId="680C26F3" w14:textId="4996F0D6" w:rsidR="001579A0" w:rsidRDefault="000F6D98" w:rsidP="009254E2">
            <w:pPr>
              <w:rPr>
                <w:color w:val="4472C4" w:themeColor="accent1"/>
              </w:rPr>
            </w:pPr>
            <w:r>
              <w:rPr>
                <w:color w:val="4472C4" w:themeColor="accent1"/>
              </w:rPr>
              <w:t>Children make good progress from their starting points</w:t>
            </w:r>
          </w:p>
        </w:tc>
        <w:tc>
          <w:tcPr>
            <w:tcW w:w="2126" w:type="dxa"/>
          </w:tcPr>
          <w:p w14:paraId="1C11F1D9" w14:textId="77777777" w:rsidR="000F6D98" w:rsidRPr="00FD3A67" w:rsidRDefault="000F6D98" w:rsidP="000F6D98">
            <w:pPr>
              <w:rPr>
                <w:color w:val="4472C4" w:themeColor="accent1"/>
              </w:rPr>
            </w:pPr>
            <w:r w:rsidRPr="00FD3A67">
              <w:rPr>
                <w:color w:val="4472C4" w:themeColor="accent1"/>
              </w:rPr>
              <w:t>Education Endowment Fund Teaching and Learning Toolkit:</w:t>
            </w:r>
          </w:p>
          <w:p w14:paraId="2B236564" w14:textId="77777777" w:rsidR="000F6D98" w:rsidRDefault="000F6D98" w:rsidP="000F6D98">
            <w:pPr>
              <w:rPr>
                <w:color w:val="4472C4" w:themeColor="accent1"/>
              </w:rPr>
            </w:pPr>
          </w:p>
          <w:p w14:paraId="16D210D3" w14:textId="77777777" w:rsidR="000F6D98" w:rsidRPr="00FD3A67" w:rsidRDefault="000F6D98" w:rsidP="000F6D98">
            <w:pPr>
              <w:rPr>
                <w:color w:val="4472C4" w:themeColor="accent1"/>
              </w:rPr>
            </w:pPr>
            <w:r w:rsidRPr="00FD3A67">
              <w:rPr>
                <w:color w:val="4472C4" w:themeColor="accent1"/>
              </w:rPr>
              <w:t>Feedback (+8)</w:t>
            </w:r>
          </w:p>
          <w:p w14:paraId="13DC30D1" w14:textId="77777777" w:rsidR="000F6D98" w:rsidRPr="00FD3A67" w:rsidRDefault="000F6D98" w:rsidP="000F6D98">
            <w:pPr>
              <w:rPr>
                <w:color w:val="4472C4" w:themeColor="accent1"/>
              </w:rPr>
            </w:pPr>
            <w:r w:rsidRPr="00FD3A67">
              <w:rPr>
                <w:color w:val="4472C4" w:themeColor="accent1"/>
              </w:rPr>
              <w:t>1:1 Tuition (+5)</w:t>
            </w:r>
          </w:p>
          <w:p w14:paraId="01498451" w14:textId="77777777" w:rsidR="000F6D98" w:rsidRPr="00FD3A67" w:rsidRDefault="000F6D98" w:rsidP="000F6D98">
            <w:pPr>
              <w:rPr>
                <w:color w:val="4472C4" w:themeColor="accent1"/>
              </w:rPr>
            </w:pPr>
            <w:r w:rsidRPr="00FD3A67">
              <w:rPr>
                <w:color w:val="4472C4" w:themeColor="accent1"/>
              </w:rPr>
              <w:t>Reading Comprehension Strategies (+6)</w:t>
            </w:r>
          </w:p>
          <w:p w14:paraId="353F22AD" w14:textId="7C65C85A" w:rsidR="001579A0" w:rsidRPr="00FD3A67" w:rsidRDefault="000F6D98" w:rsidP="000F6D98">
            <w:pPr>
              <w:rPr>
                <w:color w:val="4472C4" w:themeColor="accent1"/>
              </w:rPr>
            </w:pPr>
            <w:r w:rsidRPr="00FD3A67">
              <w:rPr>
                <w:color w:val="4472C4" w:themeColor="accent1"/>
              </w:rPr>
              <w:t>Teaching Assistants (+1)</w:t>
            </w:r>
          </w:p>
        </w:tc>
        <w:tc>
          <w:tcPr>
            <w:tcW w:w="850" w:type="dxa"/>
          </w:tcPr>
          <w:p w14:paraId="6CBC3009" w14:textId="77777777" w:rsidR="001579A0" w:rsidRDefault="001579A0" w:rsidP="0C5B573C">
            <w:pPr>
              <w:rPr>
                <w:color w:val="4471C4"/>
              </w:rPr>
            </w:pPr>
          </w:p>
          <w:p w14:paraId="3D7E4A4B" w14:textId="77777777" w:rsidR="00683A30" w:rsidRDefault="00683A30" w:rsidP="0C5B573C">
            <w:pPr>
              <w:rPr>
                <w:color w:val="4471C4"/>
              </w:rPr>
            </w:pPr>
          </w:p>
          <w:p w14:paraId="30F502D4" w14:textId="77777777" w:rsidR="00683A30" w:rsidRDefault="00683A30" w:rsidP="0C5B573C">
            <w:pPr>
              <w:rPr>
                <w:color w:val="4471C4"/>
              </w:rPr>
            </w:pPr>
          </w:p>
          <w:p w14:paraId="427A41DA" w14:textId="77777777" w:rsidR="00683A30" w:rsidRDefault="00683A30" w:rsidP="0C5B573C">
            <w:pPr>
              <w:rPr>
                <w:color w:val="4471C4"/>
              </w:rPr>
            </w:pPr>
          </w:p>
          <w:p w14:paraId="673D22EE" w14:textId="77777777" w:rsidR="00683A30" w:rsidRDefault="00683A30" w:rsidP="0C5B573C">
            <w:pPr>
              <w:rPr>
                <w:color w:val="4471C4"/>
              </w:rPr>
            </w:pPr>
          </w:p>
          <w:p w14:paraId="2F720364" w14:textId="77777777" w:rsidR="00683A30" w:rsidRDefault="00683A30" w:rsidP="0C5B573C">
            <w:pPr>
              <w:rPr>
                <w:color w:val="4471C4"/>
              </w:rPr>
            </w:pPr>
          </w:p>
          <w:p w14:paraId="52221DFD" w14:textId="3480AF8D" w:rsidR="00683A30" w:rsidRPr="49449343" w:rsidRDefault="009B1CB9" w:rsidP="0C5B573C">
            <w:pPr>
              <w:rPr>
                <w:color w:val="4471C4"/>
              </w:rPr>
            </w:pPr>
            <w:r>
              <w:rPr>
                <w:color w:val="4471C4"/>
              </w:rPr>
              <w:t>£4</w:t>
            </w:r>
            <w:r w:rsidR="00683A30">
              <w:rPr>
                <w:color w:val="4471C4"/>
              </w:rPr>
              <w:t>00</w:t>
            </w:r>
          </w:p>
        </w:tc>
        <w:tc>
          <w:tcPr>
            <w:tcW w:w="1690" w:type="dxa"/>
          </w:tcPr>
          <w:p w14:paraId="01E55645" w14:textId="30F2397F" w:rsidR="001579A0" w:rsidRPr="00282E08" w:rsidRDefault="00683A30" w:rsidP="00683A30">
            <w:pPr>
              <w:rPr>
                <w:rFonts w:ascii="Arial" w:hAnsi="Arial" w:cs="Arial"/>
                <w:iCs/>
                <w:color w:val="4472C4" w:themeColor="accent1"/>
                <w:sz w:val="20"/>
                <w:szCs w:val="20"/>
              </w:rPr>
            </w:pPr>
            <w:r w:rsidRPr="00683A30">
              <w:rPr>
                <w:rFonts w:ascii="Calibri" w:hAnsi="Calibri" w:cs="Calibri"/>
                <w:iCs/>
                <w:color w:val="4472C4" w:themeColor="accent1"/>
              </w:rPr>
              <w:t>Determined from baseline assessments made at the start of the autumn term</w:t>
            </w:r>
          </w:p>
        </w:tc>
        <w:tc>
          <w:tcPr>
            <w:tcW w:w="1287" w:type="dxa"/>
          </w:tcPr>
          <w:p w14:paraId="562B42FF" w14:textId="494FF5FE" w:rsidR="001579A0" w:rsidRDefault="00797855" w:rsidP="009254E2">
            <w:pPr>
              <w:rPr>
                <w:color w:val="4472C4" w:themeColor="accent1"/>
              </w:rPr>
            </w:pPr>
            <w:r>
              <w:rPr>
                <w:color w:val="4472C4" w:themeColor="accent1"/>
              </w:rPr>
              <w:t>English Lead</w:t>
            </w:r>
          </w:p>
        </w:tc>
        <w:tc>
          <w:tcPr>
            <w:tcW w:w="2268" w:type="dxa"/>
          </w:tcPr>
          <w:p w14:paraId="1B087269" w14:textId="77777777" w:rsidR="00797855" w:rsidRDefault="00797855" w:rsidP="00797855">
            <w:pPr>
              <w:rPr>
                <w:color w:val="FF0000"/>
              </w:rPr>
            </w:pPr>
            <w:r>
              <w:rPr>
                <w:color w:val="FF0000"/>
              </w:rPr>
              <w:t>Termly</w:t>
            </w:r>
          </w:p>
          <w:p w14:paraId="2E19D846" w14:textId="77777777" w:rsidR="00797855" w:rsidRPr="002A2936" w:rsidRDefault="00797855" w:rsidP="00797855">
            <w:pPr>
              <w:rPr>
                <w:color w:val="FF0000"/>
              </w:rPr>
            </w:pPr>
            <w:r>
              <w:rPr>
                <w:color w:val="FF0000"/>
              </w:rPr>
              <w:t>Ongoing at the end of each intervention session</w:t>
            </w:r>
          </w:p>
          <w:p w14:paraId="54B617BD" w14:textId="308ABCC3" w:rsidR="001579A0" w:rsidRPr="002A2936" w:rsidRDefault="001579A0" w:rsidP="00BB28F0">
            <w:pPr>
              <w:rPr>
                <w:color w:val="FF0000"/>
              </w:rPr>
            </w:pPr>
          </w:p>
        </w:tc>
      </w:tr>
    </w:tbl>
    <w:p w14:paraId="271FE0C7" w14:textId="28A57240" w:rsidR="00C50CC3" w:rsidRDefault="00C50CC3" w:rsidP="00ED1301">
      <w:pPr>
        <w:spacing w:after="0"/>
        <w:rPr>
          <w:b/>
          <w:bCs/>
          <w:sz w:val="28"/>
          <w:szCs w:val="28"/>
          <w:u w:val="single"/>
        </w:rPr>
      </w:pPr>
    </w:p>
    <w:p w14:paraId="1827BF60" w14:textId="77777777" w:rsidR="00082E6C" w:rsidRDefault="00082E6C" w:rsidP="00ED1301">
      <w:pPr>
        <w:spacing w:after="0"/>
        <w:rPr>
          <w:b/>
          <w:bCs/>
          <w:sz w:val="28"/>
          <w:szCs w:val="28"/>
          <w:u w:val="single"/>
        </w:rPr>
      </w:pPr>
    </w:p>
    <w:p w14:paraId="6E3F2324" w14:textId="77777777" w:rsidR="00884A10" w:rsidRDefault="00884A10" w:rsidP="00ED1301">
      <w:pPr>
        <w:spacing w:after="0"/>
        <w:rPr>
          <w:b/>
          <w:bCs/>
          <w:sz w:val="28"/>
          <w:szCs w:val="28"/>
          <w:u w:val="single"/>
        </w:rPr>
      </w:pPr>
    </w:p>
    <w:p w14:paraId="07341C36" w14:textId="77777777" w:rsidR="00884A10" w:rsidRDefault="00884A10" w:rsidP="00ED1301">
      <w:pPr>
        <w:spacing w:after="0"/>
        <w:rPr>
          <w:b/>
          <w:bCs/>
          <w:sz w:val="28"/>
          <w:szCs w:val="28"/>
          <w:u w:val="single"/>
        </w:rPr>
      </w:pPr>
    </w:p>
    <w:p w14:paraId="47E5893C" w14:textId="77777777" w:rsidR="00082E6C" w:rsidRDefault="00082E6C" w:rsidP="00ED1301">
      <w:pPr>
        <w:spacing w:after="0"/>
        <w:rPr>
          <w:b/>
          <w:bCs/>
          <w:sz w:val="28"/>
          <w:szCs w:val="28"/>
          <w:u w:val="single"/>
        </w:rPr>
      </w:pPr>
    </w:p>
    <w:p w14:paraId="4BCEA7F3" w14:textId="77777777" w:rsidR="00082E6C" w:rsidRDefault="00082E6C" w:rsidP="00ED1301">
      <w:pPr>
        <w:spacing w:after="0"/>
        <w:rPr>
          <w:b/>
          <w:bCs/>
          <w:sz w:val="28"/>
          <w:szCs w:val="28"/>
          <w:u w:val="single"/>
        </w:rPr>
      </w:pPr>
    </w:p>
    <w:p w14:paraId="0CFEEC24" w14:textId="10D91974" w:rsidR="00C64FEE" w:rsidRDefault="00C64FEE" w:rsidP="00ED1301">
      <w:pPr>
        <w:spacing w:after="0"/>
      </w:pPr>
      <w:r w:rsidRPr="00C64FEE">
        <w:rPr>
          <w:b/>
          <w:bCs/>
          <w:sz w:val="28"/>
          <w:szCs w:val="28"/>
          <w:u w:val="single"/>
        </w:rPr>
        <w:lastRenderedPageBreak/>
        <w:t>Wider strategies</w:t>
      </w:r>
      <w:r>
        <w:rPr>
          <w:b/>
          <w:bCs/>
          <w:sz w:val="28"/>
          <w:szCs w:val="28"/>
        </w:rPr>
        <w:t xml:space="preserve"> </w:t>
      </w:r>
      <w:r w:rsidRPr="00483742">
        <w:t>i.e.</w:t>
      </w:r>
      <w:r w:rsidRPr="00483742">
        <w:rPr>
          <w:b/>
          <w:bCs/>
        </w:rPr>
        <w:t xml:space="preserve"> </w:t>
      </w:r>
      <w:r w:rsidRPr="00C64FEE">
        <w:t>Behaviour approaches</w:t>
      </w:r>
      <w:r>
        <w:t xml:space="preserve">, </w:t>
      </w:r>
      <w:r w:rsidR="00FD3A67">
        <w:t>recommendations made in “Safe, Happy, Settled”.</w:t>
      </w:r>
    </w:p>
    <w:tbl>
      <w:tblPr>
        <w:tblStyle w:val="TableGrid"/>
        <w:tblW w:w="14312" w:type="dxa"/>
        <w:tblLook w:val="04A0" w:firstRow="1" w:lastRow="0" w:firstColumn="1" w:lastColumn="0" w:noHBand="0" w:noVBand="1"/>
      </w:tblPr>
      <w:tblGrid>
        <w:gridCol w:w="850"/>
        <w:gridCol w:w="2558"/>
        <w:gridCol w:w="2285"/>
        <w:gridCol w:w="2666"/>
        <w:gridCol w:w="657"/>
        <w:gridCol w:w="1752"/>
        <w:gridCol w:w="1293"/>
        <w:gridCol w:w="2251"/>
      </w:tblGrid>
      <w:tr w:rsidR="00C03629" w14:paraId="57336247" w14:textId="77777777" w:rsidTr="0C5B573C">
        <w:tc>
          <w:tcPr>
            <w:tcW w:w="850" w:type="dxa"/>
          </w:tcPr>
          <w:p w14:paraId="2AB5DD3F" w14:textId="77777777" w:rsidR="00ED1301" w:rsidRPr="006866D4" w:rsidRDefault="00ED1301" w:rsidP="0037565D">
            <w:pPr>
              <w:jc w:val="center"/>
              <w:rPr>
                <w:b/>
                <w:bCs/>
              </w:rPr>
            </w:pPr>
            <w:r w:rsidRPr="006866D4">
              <w:rPr>
                <w:b/>
                <w:bCs/>
              </w:rPr>
              <w:t>Barrier</w:t>
            </w:r>
          </w:p>
        </w:tc>
        <w:tc>
          <w:tcPr>
            <w:tcW w:w="2558" w:type="dxa"/>
          </w:tcPr>
          <w:p w14:paraId="1DF58E42" w14:textId="77777777" w:rsidR="00ED1301" w:rsidRPr="006866D4" w:rsidRDefault="00ED1301" w:rsidP="0037565D">
            <w:pPr>
              <w:jc w:val="center"/>
              <w:rPr>
                <w:b/>
                <w:bCs/>
              </w:rPr>
            </w:pPr>
            <w:r>
              <w:rPr>
                <w:b/>
                <w:bCs/>
              </w:rPr>
              <w:t>Action</w:t>
            </w:r>
          </w:p>
        </w:tc>
        <w:tc>
          <w:tcPr>
            <w:tcW w:w="2285" w:type="dxa"/>
          </w:tcPr>
          <w:p w14:paraId="705F41AE" w14:textId="77777777" w:rsidR="00ED1301" w:rsidRPr="006866D4" w:rsidRDefault="00ED1301" w:rsidP="0037565D">
            <w:pPr>
              <w:jc w:val="center"/>
              <w:rPr>
                <w:b/>
                <w:bCs/>
              </w:rPr>
            </w:pPr>
            <w:r w:rsidRPr="006866D4">
              <w:rPr>
                <w:b/>
                <w:bCs/>
              </w:rPr>
              <w:t>Desired outcome</w:t>
            </w:r>
          </w:p>
        </w:tc>
        <w:tc>
          <w:tcPr>
            <w:tcW w:w="2666" w:type="dxa"/>
          </w:tcPr>
          <w:p w14:paraId="1167A9E6" w14:textId="77777777" w:rsidR="00ED1301" w:rsidRPr="006866D4" w:rsidRDefault="00ED1301" w:rsidP="0037565D">
            <w:pPr>
              <w:jc w:val="center"/>
              <w:rPr>
                <w:b/>
                <w:bCs/>
              </w:rPr>
            </w:pPr>
            <w:r w:rsidRPr="006866D4">
              <w:rPr>
                <w:b/>
                <w:bCs/>
              </w:rPr>
              <w:t>Evidence source</w:t>
            </w:r>
          </w:p>
        </w:tc>
        <w:tc>
          <w:tcPr>
            <w:tcW w:w="657" w:type="dxa"/>
          </w:tcPr>
          <w:p w14:paraId="50ED8F6E" w14:textId="77777777" w:rsidR="00ED1301" w:rsidRPr="006866D4" w:rsidRDefault="00ED1301" w:rsidP="0037565D">
            <w:pPr>
              <w:jc w:val="center"/>
              <w:rPr>
                <w:b/>
                <w:bCs/>
              </w:rPr>
            </w:pPr>
            <w:r w:rsidRPr="006866D4">
              <w:rPr>
                <w:b/>
                <w:bCs/>
              </w:rPr>
              <w:t>Cost</w:t>
            </w:r>
          </w:p>
        </w:tc>
        <w:tc>
          <w:tcPr>
            <w:tcW w:w="1752" w:type="dxa"/>
          </w:tcPr>
          <w:p w14:paraId="44A4559D" w14:textId="77777777" w:rsidR="00ED1301" w:rsidRPr="006866D4" w:rsidRDefault="00ED1301" w:rsidP="0037565D">
            <w:pPr>
              <w:jc w:val="center"/>
              <w:rPr>
                <w:b/>
                <w:bCs/>
              </w:rPr>
            </w:pPr>
            <w:r w:rsidRPr="006866D4">
              <w:rPr>
                <w:b/>
                <w:bCs/>
              </w:rPr>
              <w:t>Baseline data</w:t>
            </w:r>
          </w:p>
        </w:tc>
        <w:tc>
          <w:tcPr>
            <w:tcW w:w="1293" w:type="dxa"/>
          </w:tcPr>
          <w:p w14:paraId="6F753C07" w14:textId="77777777" w:rsidR="00ED1301" w:rsidRPr="006866D4" w:rsidRDefault="00ED1301" w:rsidP="0037565D">
            <w:pPr>
              <w:jc w:val="center"/>
              <w:rPr>
                <w:b/>
                <w:bCs/>
              </w:rPr>
            </w:pPr>
            <w:r w:rsidRPr="006866D4">
              <w:rPr>
                <w:b/>
                <w:bCs/>
              </w:rPr>
              <w:t>Person responsible</w:t>
            </w:r>
          </w:p>
        </w:tc>
        <w:tc>
          <w:tcPr>
            <w:tcW w:w="2251" w:type="dxa"/>
          </w:tcPr>
          <w:p w14:paraId="7F8CCA21" w14:textId="77777777" w:rsidR="00ED1301" w:rsidRPr="006866D4" w:rsidRDefault="00ED1301" w:rsidP="0037565D">
            <w:pPr>
              <w:jc w:val="center"/>
              <w:rPr>
                <w:b/>
                <w:bCs/>
              </w:rPr>
            </w:pPr>
            <w:r w:rsidRPr="006866D4">
              <w:rPr>
                <w:b/>
                <w:bCs/>
              </w:rPr>
              <w:t>Impact/ evaluation (</w:t>
            </w:r>
            <w:r w:rsidRPr="006866D4">
              <w:rPr>
                <w:b/>
                <w:bCs/>
                <w:color w:val="FF0000"/>
              </w:rPr>
              <w:t>autumn</w:t>
            </w:r>
            <w:r w:rsidRPr="006866D4">
              <w:rPr>
                <w:b/>
                <w:bCs/>
              </w:rPr>
              <w:t xml:space="preserve">, </w:t>
            </w:r>
            <w:r w:rsidRPr="006866D4">
              <w:rPr>
                <w:b/>
                <w:bCs/>
                <w:color w:val="FFC000"/>
              </w:rPr>
              <w:t>spring</w:t>
            </w:r>
            <w:r w:rsidRPr="006866D4">
              <w:rPr>
                <w:b/>
                <w:bCs/>
              </w:rPr>
              <w:t xml:space="preserve">, </w:t>
            </w:r>
            <w:r w:rsidRPr="006866D4">
              <w:rPr>
                <w:b/>
                <w:bCs/>
                <w:color w:val="00B050"/>
              </w:rPr>
              <w:t>summer</w:t>
            </w:r>
            <w:r w:rsidRPr="006866D4">
              <w:rPr>
                <w:b/>
                <w:bCs/>
              </w:rPr>
              <w:t>)</w:t>
            </w:r>
          </w:p>
        </w:tc>
      </w:tr>
      <w:tr w:rsidR="00C03629" w14:paraId="4DD5F4D9" w14:textId="77777777" w:rsidTr="0C5B573C">
        <w:trPr>
          <w:trHeight w:val="3117"/>
        </w:trPr>
        <w:tc>
          <w:tcPr>
            <w:tcW w:w="850" w:type="dxa"/>
            <w:shd w:val="clear" w:color="auto" w:fill="E2EFD9" w:themeFill="accent6" w:themeFillTint="33"/>
          </w:tcPr>
          <w:p w14:paraId="694E153B" w14:textId="13CF8CC3" w:rsidR="00D473BD" w:rsidRDefault="001579A0" w:rsidP="00D473BD">
            <w:r>
              <w:t>F</w:t>
            </w:r>
          </w:p>
        </w:tc>
        <w:tc>
          <w:tcPr>
            <w:tcW w:w="2558" w:type="dxa"/>
          </w:tcPr>
          <w:p w14:paraId="5273757A" w14:textId="3E318F46" w:rsidR="00D473BD" w:rsidRDefault="00AD75B7" w:rsidP="00D473BD">
            <w:pPr>
              <w:rPr>
                <w:color w:val="4472C4" w:themeColor="accent1"/>
              </w:rPr>
            </w:pPr>
            <w:r>
              <w:rPr>
                <w:color w:val="4472C4" w:themeColor="accent1"/>
              </w:rPr>
              <w:t xml:space="preserve">Wellbeing and </w:t>
            </w:r>
            <w:r w:rsidR="00D473BD" w:rsidRPr="00FD3A67">
              <w:rPr>
                <w:color w:val="4472C4" w:themeColor="accent1"/>
              </w:rPr>
              <w:t>related resources planned for, implemented and evaluated</w:t>
            </w:r>
            <w:r>
              <w:rPr>
                <w:color w:val="4472C4" w:themeColor="accent1"/>
              </w:rPr>
              <w:t xml:space="preserve"> across the school</w:t>
            </w:r>
            <w:r w:rsidR="00533DD8">
              <w:rPr>
                <w:color w:val="4472C4" w:themeColor="accent1"/>
              </w:rPr>
              <w:t xml:space="preserve"> via RSE</w:t>
            </w:r>
            <w:r w:rsidR="00023B35">
              <w:rPr>
                <w:color w:val="4472C4" w:themeColor="accent1"/>
              </w:rPr>
              <w:t xml:space="preserve"> teaching and mental health leads’ support to pupils</w:t>
            </w:r>
            <w:r w:rsidR="00D473BD" w:rsidRPr="00FD3A67">
              <w:rPr>
                <w:color w:val="4472C4" w:themeColor="accent1"/>
              </w:rPr>
              <w:t>.</w:t>
            </w:r>
          </w:p>
          <w:p w14:paraId="5A6D6271" w14:textId="77777777" w:rsidR="00C03629" w:rsidRDefault="00C03629" w:rsidP="00D473BD">
            <w:pPr>
              <w:rPr>
                <w:color w:val="4472C4" w:themeColor="accent1"/>
              </w:rPr>
            </w:pPr>
          </w:p>
          <w:p w14:paraId="31667FAA" w14:textId="593F468C" w:rsidR="00C03629" w:rsidRPr="00FD3A67" w:rsidRDefault="00C03629" w:rsidP="00C03629">
            <w:pPr>
              <w:rPr>
                <w:color w:val="4472C4" w:themeColor="accent1"/>
              </w:rPr>
            </w:pPr>
            <w:r>
              <w:rPr>
                <w:color w:val="4472C4" w:themeColor="accent1"/>
              </w:rPr>
              <w:t xml:space="preserve">Small group and </w:t>
            </w:r>
            <w:r w:rsidRPr="00FD3A67">
              <w:rPr>
                <w:color w:val="4472C4" w:themeColor="accent1"/>
              </w:rPr>
              <w:t xml:space="preserve">1:1 </w:t>
            </w:r>
            <w:r>
              <w:rPr>
                <w:color w:val="4472C4" w:themeColor="accent1"/>
              </w:rPr>
              <w:t xml:space="preserve">wellbeing support / </w:t>
            </w:r>
            <w:r w:rsidRPr="00FD3A67">
              <w:rPr>
                <w:color w:val="4472C4" w:themeColor="accent1"/>
              </w:rPr>
              <w:t>Intervention with identified pupils.</w:t>
            </w:r>
          </w:p>
          <w:p w14:paraId="739177A9" w14:textId="326EA99B" w:rsidR="00C03629" w:rsidRPr="00FD3A67" w:rsidRDefault="00C03629" w:rsidP="00D473BD">
            <w:pPr>
              <w:rPr>
                <w:color w:val="4472C4" w:themeColor="accent1"/>
              </w:rPr>
            </w:pPr>
          </w:p>
        </w:tc>
        <w:tc>
          <w:tcPr>
            <w:tcW w:w="2285" w:type="dxa"/>
          </w:tcPr>
          <w:p w14:paraId="2EA87892" w14:textId="2A342D47" w:rsidR="00D473BD" w:rsidRPr="00FD3A67" w:rsidRDefault="00D473BD" w:rsidP="00D473BD">
            <w:pPr>
              <w:rPr>
                <w:color w:val="4472C4" w:themeColor="accent1"/>
              </w:rPr>
            </w:pPr>
            <w:r w:rsidRPr="00FD3A67">
              <w:rPr>
                <w:color w:val="4472C4" w:themeColor="accent1"/>
              </w:rPr>
              <w:t>Positive impact on identified SEMH pupils’ emotional wellbeing.</w:t>
            </w:r>
          </w:p>
        </w:tc>
        <w:tc>
          <w:tcPr>
            <w:tcW w:w="2666" w:type="dxa"/>
          </w:tcPr>
          <w:p w14:paraId="4E5E4C10" w14:textId="77777777" w:rsidR="00D473BD" w:rsidRPr="00FD3A67" w:rsidRDefault="00D473BD" w:rsidP="00D473BD">
            <w:pPr>
              <w:rPr>
                <w:color w:val="4472C4" w:themeColor="accent1"/>
              </w:rPr>
            </w:pPr>
            <w:r w:rsidRPr="00FD3A67">
              <w:rPr>
                <w:color w:val="4472C4" w:themeColor="accent1"/>
              </w:rPr>
              <w:t>Education Endowment Fund Teaching and Learning Toolkit:</w:t>
            </w:r>
          </w:p>
          <w:p w14:paraId="1298E219" w14:textId="77777777" w:rsidR="00D473BD" w:rsidRPr="00FD3A67" w:rsidRDefault="00D473BD" w:rsidP="00D473BD">
            <w:pPr>
              <w:rPr>
                <w:color w:val="4472C4" w:themeColor="accent1"/>
              </w:rPr>
            </w:pPr>
          </w:p>
          <w:p w14:paraId="3A92CAFC" w14:textId="77777777" w:rsidR="00142A3D" w:rsidRDefault="00142A3D" w:rsidP="00D473BD">
            <w:pPr>
              <w:rPr>
                <w:color w:val="4472C4" w:themeColor="accent1"/>
              </w:rPr>
            </w:pPr>
          </w:p>
          <w:p w14:paraId="10384146" w14:textId="77777777" w:rsidR="00142A3D" w:rsidRDefault="00142A3D" w:rsidP="00D473BD">
            <w:pPr>
              <w:rPr>
                <w:color w:val="4472C4" w:themeColor="accent1"/>
              </w:rPr>
            </w:pPr>
          </w:p>
          <w:p w14:paraId="3FAE7B9D" w14:textId="77777777" w:rsidR="006841FF" w:rsidRDefault="006841FF" w:rsidP="006841FF">
            <w:pPr>
              <w:rPr>
                <w:color w:val="4472C4" w:themeColor="accent1"/>
              </w:rPr>
            </w:pPr>
          </w:p>
          <w:p w14:paraId="73A0D3FA" w14:textId="77777777" w:rsidR="006841FF" w:rsidRDefault="006841FF" w:rsidP="006841FF">
            <w:pPr>
              <w:rPr>
                <w:color w:val="4472C4" w:themeColor="accent1"/>
              </w:rPr>
            </w:pPr>
          </w:p>
          <w:p w14:paraId="51FBD554" w14:textId="23C91113" w:rsidR="006841FF" w:rsidRPr="00FD3A67" w:rsidRDefault="006841FF" w:rsidP="006841FF">
            <w:pPr>
              <w:rPr>
                <w:color w:val="4472C4" w:themeColor="accent1"/>
              </w:rPr>
            </w:pPr>
            <w:r w:rsidRPr="00FD3A67">
              <w:rPr>
                <w:color w:val="4472C4" w:themeColor="accent1"/>
              </w:rPr>
              <w:t>Behaviour Interventions (+3)</w:t>
            </w:r>
          </w:p>
          <w:p w14:paraId="4533C810" w14:textId="77777777" w:rsidR="006841FF" w:rsidRPr="00FD3A67" w:rsidRDefault="006841FF" w:rsidP="006841FF">
            <w:pPr>
              <w:rPr>
                <w:color w:val="4472C4" w:themeColor="accent1"/>
              </w:rPr>
            </w:pPr>
            <w:r w:rsidRPr="00FD3A67">
              <w:rPr>
                <w:color w:val="4472C4" w:themeColor="accent1"/>
              </w:rPr>
              <w:t>Social and Emotional Learning (+4)</w:t>
            </w:r>
          </w:p>
          <w:p w14:paraId="6E8EF1C4" w14:textId="77777777" w:rsidR="006841FF" w:rsidRPr="00FD3A67" w:rsidRDefault="006841FF" w:rsidP="006841FF">
            <w:pPr>
              <w:rPr>
                <w:color w:val="4472C4" w:themeColor="accent1"/>
              </w:rPr>
            </w:pPr>
            <w:r w:rsidRPr="00FD3A67">
              <w:rPr>
                <w:color w:val="4472C4" w:themeColor="accent1"/>
              </w:rPr>
              <w:t>Metacognition and Self-Regulation (+7)</w:t>
            </w:r>
          </w:p>
          <w:p w14:paraId="479CDADE" w14:textId="7CDDD1E1" w:rsidR="00D473BD" w:rsidRPr="00FD3A67" w:rsidRDefault="00D473BD" w:rsidP="00D473BD">
            <w:pPr>
              <w:rPr>
                <w:color w:val="4472C4" w:themeColor="accent1"/>
              </w:rPr>
            </w:pPr>
          </w:p>
        </w:tc>
        <w:tc>
          <w:tcPr>
            <w:tcW w:w="657" w:type="dxa"/>
          </w:tcPr>
          <w:p w14:paraId="5CA532A3" w14:textId="428D675F" w:rsidR="00D473BD" w:rsidRPr="00FD3A67" w:rsidRDefault="497C68AF" w:rsidP="399FF760">
            <w:pPr>
              <w:rPr>
                <w:color w:val="4472C4" w:themeColor="accent1"/>
                <w:sz w:val="20"/>
                <w:szCs w:val="20"/>
              </w:rPr>
            </w:pPr>
            <w:r w:rsidRPr="399FF760">
              <w:rPr>
                <w:color w:val="4472C4" w:themeColor="accent1"/>
                <w:sz w:val="20"/>
                <w:szCs w:val="20"/>
              </w:rPr>
              <w:t>£</w:t>
            </w:r>
            <w:r w:rsidR="65A738A9" w:rsidRPr="399FF760">
              <w:rPr>
                <w:color w:val="4472C4" w:themeColor="accent1"/>
                <w:sz w:val="20"/>
                <w:szCs w:val="20"/>
              </w:rPr>
              <w:t>375</w:t>
            </w:r>
          </w:p>
          <w:p w14:paraId="661882C7" w14:textId="0125A91B" w:rsidR="00D473BD" w:rsidRDefault="00D473BD" w:rsidP="00D473BD">
            <w:pPr>
              <w:rPr>
                <w:color w:val="4472C4" w:themeColor="accent1"/>
              </w:rPr>
            </w:pPr>
          </w:p>
          <w:p w14:paraId="1CD5263C" w14:textId="382892D5" w:rsidR="00C03629" w:rsidRDefault="00C03629" w:rsidP="00D473BD">
            <w:pPr>
              <w:rPr>
                <w:color w:val="4472C4" w:themeColor="accent1"/>
              </w:rPr>
            </w:pPr>
          </w:p>
          <w:p w14:paraId="0795BBDA" w14:textId="16545A7D" w:rsidR="00C03629" w:rsidRDefault="00C03629" w:rsidP="00D473BD">
            <w:pPr>
              <w:rPr>
                <w:color w:val="4472C4" w:themeColor="accent1"/>
              </w:rPr>
            </w:pPr>
          </w:p>
          <w:p w14:paraId="07E08591" w14:textId="4B70CE23" w:rsidR="00C03629" w:rsidRDefault="00C03629" w:rsidP="00D473BD">
            <w:pPr>
              <w:rPr>
                <w:color w:val="4472C4" w:themeColor="accent1"/>
              </w:rPr>
            </w:pPr>
          </w:p>
          <w:p w14:paraId="41A0F2FA" w14:textId="569627A0" w:rsidR="00C03629" w:rsidRDefault="00C03629" w:rsidP="00D473BD">
            <w:pPr>
              <w:rPr>
                <w:color w:val="4472C4" w:themeColor="accent1"/>
              </w:rPr>
            </w:pPr>
          </w:p>
          <w:p w14:paraId="597B17EA" w14:textId="62515056" w:rsidR="00C03629" w:rsidRDefault="00C03629" w:rsidP="00D473BD">
            <w:pPr>
              <w:rPr>
                <w:color w:val="4472C4" w:themeColor="accent1"/>
              </w:rPr>
            </w:pPr>
          </w:p>
          <w:p w14:paraId="2702890F" w14:textId="77777777" w:rsidR="00C03629" w:rsidRDefault="00C03629" w:rsidP="00D473BD">
            <w:pPr>
              <w:rPr>
                <w:color w:val="4472C4" w:themeColor="accent1"/>
              </w:rPr>
            </w:pPr>
          </w:p>
          <w:p w14:paraId="6483D565" w14:textId="32F30A98" w:rsidR="00C03629" w:rsidRPr="00FD3A67" w:rsidRDefault="62CA2F34" w:rsidP="399FF760">
            <w:pPr>
              <w:rPr>
                <w:color w:val="4472C4" w:themeColor="accent1"/>
                <w:sz w:val="20"/>
                <w:szCs w:val="20"/>
              </w:rPr>
            </w:pPr>
            <w:r w:rsidRPr="0C5B573C">
              <w:rPr>
                <w:color w:val="4471C4"/>
                <w:sz w:val="20"/>
                <w:szCs w:val="20"/>
              </w:rPr>
              <w:t>£</w:t>
            </w:r>
            <w:r w:rsidR="3B58329F" w:rsidRPr="0C5B573C">
              <w:rPr>
                <w:color w:val="4471C4"/>
                <w:sz w:val="20"/>
                <w:szCs w:val="20"/>
              </w:rPr>
              <w:t>5</w:t>
            </w:r>
            <w:r w:rsidR="18326AFD" w:rsidRPr="0C5B573C">
              <w:rPr>
                <w:color w:val="4471C4"/>
                <w:sz w:val="20"/>
                <w:szCs w:val="20"/>
              </w:rPr>
              <w:t>7</w:t>
            </w:r>
            <w:r w:rsidR="67679424" w:rsidRPr="0C5B573C">
              <w:rPr>
                <w:color w:val="4471C4"/>
                <w:sz w:val="20"/>
                <w:szCs w:val="20"/>
              </w:rPr>
              <w:t>8</w:t>
            </w:r>
          </w:p>
          <w:p w14:paraId="5F845822" w14:textId="77777777" w:rsidR="00D473BD" w:rsidRPr="00FD3A67" w:rsidRDefault="00D473BD" w:rsidP="00D473BD">
            <w:pPr>
              <w:rPr>
                <w:color w:val="4472C4" w:themeColor="accent1"/>
              </w:rPr>
            </w:pPr>
          </w:p>
          <w:p w14:paraId="7335F581" w14:textId="77777777" w:rsidR="00D473BD" w:rsidRPr="00FD3A67" w:rsidRDefault="00D473BD" w:rsidP="00D473BD">
            <w:pPr>
              <w:rPr>
                <w:color w:val="4472C4" w:themeColor="accent1"/>
              </w:rPr>
            </w:pPr>
          </w:p>
          <w:p w14:paraId="67854253" w14:textId="5ADB9CA8" w:rsidR="00D473BD" w:rsidRPr="00FD3A67" w:rsidRDefault="00D473BD" w:rsidP="00D473BD">
            <w:pPr>
              <w:rPr>
                <w:color w:val="4472C4" w:themeColor="accent1"/>
              </w:rPr>
            </w:pPr>
          </w:p>
        </w:tc>
        <w:tc>
          <w:tcPr>
            <w:tcW w:w="1752" w:type="dxa"/>
          </w:tcPr>
          <w:p w14:paraId="799A451E" w14:textId="1C1CF3BF" w:rsidR="00D473BD" w:rsidRPr="00FD3A67" w:rsidRDefault="00AD75B7" w:rsidP="00D473BD">
            <w:pPr>
              <w:rPr>
                <w:color w:val="4472C4" w:themeColor="accent1"/>
              </w:rPr>
            </w:pPr>
            <w:r>
              <w:rPr>
                <w:color w:val="4472C4" w:themeColor="accent1"/>
              </w:rPr>
              <w:t>B</w:t>
            </w:r>
            <w:r w:rsidR="00D473BD" w:rsidRPr="00FD3A67">
              <w:rPr>
                <w:color w:val="4472C4" w:themeColor="accent1"/>
              </w:rPr>
              <w:t xml:space="preserve">ehaviour </w:t>
            </w:r>
            <w:r>
              <w:rPr>
                <w:color w:val="4472C4" w:themeColor="accent1"/>
              </w:rPr>
              <w:t>incidents log</w:t>
            </w:r>
          </w:p>
          <w:p w14:paraId="2E5A8A2F" w14:textId="77777777" w:rsidR="00D473BD" w:rsidRPr="00FD3A67" w:rsidRDefault="00D473BD" w:rsidP="00D473BD">
            <w:pPr>
              <w:rPr>
                <w:color w:val="4472C4" w:themeColor="accent1"/>
              </w:rPr>
            </w:pPr>
          </w:p>
          <w:p w14:paraId="6273F155" w14:textId="77777777" w:rsidR="00D473BD" w:rsidRPr="00FD3A67" w:rsidRDefault="00D473BD" w:rsidP="00D473BD">
            <w:pPr>
              <w:rPr>
                <w:color w:val="4472C4" w:themeColor="accent1"/>
              </w:rPr>
            </w:pPr>
          </w:p>
          <w:p w14:paraId="14FE35EE" w14:textId="77777777" w:rsidR="00D473BD" w:rsidRPr="00FD3A67" w:rsidRDefault="00D473BD" w:rsidP="00D473BD">
            <w:pPr>
              <w:rPr>
                <w:color w:val="4472C4" w:themeColor="accent1"/>
              </w:rPr>
            </w:pPr>
          </w:p>
          <w:p w14:paraId="77679C16" w14:textId="393B7071" w:rsidR="00D473BD" w:rsidRDefault="00D473BD" w:rsidP="00D473BD">
            <w:pPr>
              <w:rPr>
                <w:color w:val="4472C4" w:themeColor="accent1"/>
              </w:rPr>
            </w:pPr>
          </w:p>
          <w:p w14:paraId="38557598" w14:textId="418D1A31" w:rsidR="00C03629" w:rsidRDefault="00C03629" w:rsidP="00D473BD">
            <w:pPr>
              <w:rPr>
                <w:color w:val="4472C4" w:themeColor="accent1"/>
              </w:rPr>
            </w:pPr>
          </w:p>
          <w:p w14:paraId="611C94B4" w14:textId="77777777" w:rsidR="00C03629" w:rsidRDefault="00C03629" w:rsidP="00D473BD">
            <w:pPr>
              <w:rPr>
                <w:color w:val="4472C4" w:themeColor="accent1"/>
              </w:rPr>
            </w:pPr>
          </w:p>
          <w:p w14:paraId="10D9E3DD" w14:textId="30A4359A" w:rsidR="00D473BD" w:rsidRPr="00C03629" w:rsidRDefault="00C03629" w:rsidP="00AD75B7">
            <w:pPr>
              <w:rPr>
                <w:color w:val="4472C4" w:themeColor="accent1"/>
              </w:rPr>
            </w:pPr>
            <w:r>
              <w:rPr>
                <w:color w:val="4472C4" w:themeColor="accent1"/>
              </w:rPr>
              <w:t>Staff and pupils’ views entry / exit data</w:t>
            </w:r>
          </w:p>
        </w:tc>
        <w:tc>
          <w:tcPr>
            <w:tcW w:w="1293" w:type="dxa"/>
          </w:tcPr>
          <w:p w14:paraId="38FA2A7D" w14:textId="09147ABA" w:rsidR="00D473BD" w:rsidRPr="00FD3A67" w:rsidRDefault="00D473BD" w:rsidP="00D473BD">
            <w:pPr>
              <w:rPr>
                <w:color w:val="4472C4" w:themeColor="accent1"/>
              </w:rPr>
            </w:pPr>
            <w:r w:rsidRPr="00FD3A67">
              <w:rPr>
                <w:color w:val="4472C4" w:themeColor="accent1"/>
              </w:rPr>
              <w:t>SENCO</w:t>
            </w:r>
          </w:p>
          <w:p w14:paraId="703CDB98" w14:textId="77777777" w:rsidR="00D473BD" w:rsidRPr="00FD3A67" w:rsidRDefault="00D473BD" w:rsidP="00D473BD">
            <w:pPr>
              <w:rPr>
                <w:color w:val="4472C4" w:themeColor="accent1"/>
              </w:rPr>
            </w:pPr>
          </w:p>
          <w:p w14:paraId="69C13C6B" w14:textId="77777777" w:rsidR="00D473BD" w:rsidRPr="00FD3A67" w:rsidRDefault="00D473BD" w:rsidP="00D473BD">
            <w:pPr>
              <w:rPr>
                <w:color w:val="4472C4" w:themeColor="accent1"/>
              </w:rPr>
            </w:pPr>
          </w:p>
          <w:p w14:paraId="3537CBC9" w14:textId="77777777" w:rsidR="00D473BD" w:rsidRPr="00FD3A67" w:rsidRDefault="00D473BD" w:rsidP="00D473BD">
            <w:pPr>
              <w:rPr>
                <w:color w:val="4472C4" w:themeColor="accent1"/>
              </w:rPr>
            </w:pPr>
          </w:p>
          <w:p w14:paraId="38919B9D" w14:textId="77777777" w:rsidR="00D473BD" w:rsidRPr="00FD3A67" w:rsidRDefault="00D473BD" w:rsidP="00D473BD">
            <w:pPr>
              <w:rPr>
                <w:color w:val="4472C4" w:themeColor="accent1"/>
              </w:rPr>
            </w:pPr>
          </w:p>
          <w:p w14:paraId="450B9559" w14:textId="77777777" w:rsidR="00D473BD" w:rsidRPr="00FD3A67" w:rsidRDefault="00D473BD" w:rsidP="00D473BD">
            <w:pPr>
              <w:rPr>
                <w:color w:val="4472C4" w:themeColor="accent1"/>
              </w:rPr>
            </w:pPr>
          </w:p>
          <w:p w14:paraId="686D63D3" w14:textId="77777777" w:rsidR="00D473BD" w:rsidRPr="00FD3A67" w:rsidRDefault="00D473BD" w:rsidP="00D473BD">
            <w:pPr>
              <w:rPr>
                <w:color w:val="4472C4" w:themeColor="accent1"/>
              </w:rPr>
            </w:pPr>
          </w:p>
          <w:p w14:paraId="479B9674" w14:textId="77777777" w:rsidR="00D473BD" w:rsidRPr="00FD3A67" w:rsidRDefault="00D473BD" w:rsidP="00D473BD">
            <w:pPr>
              <w:rPr>
                <w:color w:val="4472C4" w:themeColor="accent1"/>
              </w:rPr>
            </w:pPr>
          </w:p>
          <w:p w14:paraId="36E7C332" w14:textId="77777777" w:rsidR="00D473BD" w:rsidRPr="00FD3A67" w:rsidRDefault="00D473BD" w:rsidP="00D473BD">
            <w:pPr>
              <w:rPr>
                <w:color w:val="4472C4" w:themeColor="accent1"/>
              </w:rPr>
            </w:pPr>
          </w:p>
          <w:p w14:paraId="12073EF3" w14:textId="2ACB2592" w:rsidR="00D473BD" w:rsidRPr="00FD3A67" w:rsidRDefault="00D473BD" w:rsidP="00D473BD">
            <w:pPr>
              <w:rPr>
                <w:color w:val="4472C4" w:themeColor="accent1"/>
              </w:rPr>
            </w:pPr>
          </w:p>
        </w:tc>
        <w:tc>
          <w:tcPr>
            <w:tcW w:w="2251" w:type="dxa"/>
          </w:tcPr>
          <w:p w14:paraId="5BE1D196" w14:textId="77777777" w:rsidR="00BB28F0" w:rsidRPr="002A2936" w:rsidRDefault="00BB28F0" w:rsidP="00BB28F0">
            <w:pPr>
              <w:rPr>
                <w:color w:val="FF0000"/>
              </w:rPr>
            </w:pPr>
            <w:r w:rsidRPr="002A2936">
              <w:rPr>
                <w:color w:val="FF0000"/>
              </w:rPr>
              <w:t>Autumn term</w:t>
            </w:r>
          </w:p>
          <w:p w14:paraId="08B9754E" w14:textId="37EE7701" w:rsidR="00D473BD" w:rsidRDefault="00D473BD" w:rsidP="00BB28F0"/>
        </w:tc>
      </w:tr>
    </w:tbl>
    <w:p w14:paraId="555C23CE" w14:textId="26A91FCD" w:rsidR="00FB77C7" w:rsidRPr="00C03629" w:rsidRDefault="00483742">
      <w:pPr>
        <w:rPr>
          <w:b/>
          <w:bCs/>
          <w:sz w:val="28"/>
          <w:szCs w:val="28"/>
          <w:u w:val="single"/>
        </w:rPr>
      </w:pPr>
      <w:r w:rsidRPr="008A1D5F">
        <w:rPr>
          <w:b/>
          <w:bCs/>
          <w:sz w:val="28"/>
          <w:szCs w:val="28"/>
          <w:u w:val="single"/>
        </w:rPr>
        <w:t>Governance – monitoring the effectiveness of the Strategy</w:t>
      </w:r>
    </w:p>
    <w:tbl>
      <w:tblPr>
        <w:tblStyle w:val="TableGrid"/>
        <w:tblW w:w="0" w:type="auto"/>
        <w:tblLook w:val="04A0" w:firstRow="1" w:lastRow="0" w:firstColumn="1" w:lastColumn="0" w:noHBand="0" w:noVBand="1"/>
      </w:tblPr>
      <w:tblGrid>
        <w:gridCol w:w="14275"/>
      </w:tblGrid>
      <w:tr w:rsidR="00483742" w14:paraId="4C260680" w14:textId="77777777" w:rsidTr="453EC33D">
        <w:tc>
          <w:tcPr>
            <w:tcW w:w="14275" w:type="dxa"/>
          </w:tcPr>
          <w:p w14:paraId="32B686F1" w14:textId="77777777" w:rsidR="00483742" w:rsidRDefault="00483742">
            <w:pPr>
              <w:rPr>
                <w:b/>
                <w:bCs/>
              </w:rPr>
            </w:pPr>
            <w:r w:rsidRPr="00483742">
              <w:rPr>
                <w:b/>
                <w:bCs/>
              </w:rPr>
              <w:t>Governors involved:</w:t>
            </w:r>
          </w:p>
          <w:p w14:paraId="1F63A10C" w14:textId="55EB99AE" w:rsidR="00483742" w:rsidRPr="00A455DF" w:rsidRDefault="00A455DF">
            <w:pPr>
              <w:rPr>
                <w:bCs/>
              </w:rPr>
            </w:pPr>
            <w:r>
              <w:rPr>
                <w:bCs/>
              </w:rPr>
              <w:t>Chair of Governors</w:t>
            </w:r>
            <w:r w:rsidR="00553884">
              <w:rPr>
                <w:bCs/>
              </w:rPr>
              <w:t>, Vice Chair of Governors</w:t>
            </w:r>
            <w:r w:rsidR="00FA1A67">
              <w:rPr>
                <w:bCs/>
              </w:rPr>
              <w:t xml:space="preserve"> and</w:t>
            </w:r>
            <w:r>
              <w:rPr>
                <w:bCs/>
              </w:rPr>
              <w:t xml:space="preserve"> Head Teacher</w:t>
            </w:r>
          </w:p>
        </w:tc>
      </w:tr>
      <w:tr w:rsidR="00483742" w14:paraId="00DE5A03" w14:textId="77777777" w:rsidTr="453EC33D">
        <w:tc>
          <w:tcPr>
            <w:tcW w:w="14275" w:type="dxa"/>
          </w:tcPr>
          <w:p w14:paraId="69D43EBB" w14:textId="77777777" w:rsidR="00483742" w:rsidRDefault="00483742">
            <w:pPr>
              <w:rPr>
                <w:b/>
                <w:bCs/>
              </w:rPr>
            </w:pPr>
            <w:r w:rsidRPr="00483742">
              <w:rPr>
                <w:b/>
                <w:bCs/>
              </w:rPr>
              <w:t>Committee meeting dates</w:t>
            </w:r>
            <w:r>
              <w:rPr>
                <w:b/>
                <w:bCs/>
              </w:rPr>
              <w:t xml:space="preserve"> </w:t>
            </w:r>
          </w:p>
          <w:p w14:paraId="0E776ACC" w14:textId="667958A3" w:rsidR="00483742" w:rsidRDefault="00483742">
            <w:pPr>
              <w:rPr>
                <w:b/>
                <w:bCs/>
              </w:rPr>
            </w:pPr>
            <w:r>
              <w:rPr>
                <w:b/>
                <w:bCs/>
              </w:rPr>
              <w:t>Autumn:</w:t>
            </w:r>
            <w:r w:rsidR="35ACB5B7">
              <w:rPr>
                <w:b/>
                <w:bCs/>
              </w:rPr>
              <w:t xml:space="preserve"> </w:t>
            </w:r>
            <w:r>
              <w:rPr>
                <w:b/>
                <w:bCs/>
              </w:rPr>
              <w:tab/>
            </w:r>
            <w:r w:rsidR="00A455DF" w:rsidRPr="00286B8E">
              <w:t>December 20</w:t>
            </w:r>
            <w:r w:rsidR="00FB77C7" w:rsidRPr="00286B8E">
              <w:t>20</w:t>
            </w:r>
            <w:r w:rsidR="00FB77C7">
              <w:rPr>
                <w:bCs/>
              </w:rPr>
              <w:tab/>
            </w:r>
            <w:r>
              <w:rPr>
                <w:b/>
                <w:bCs/>
              </w:rPr>
              <w:tab/>
              <w:t>Spring:</w:t>
            </w:r>
            <w:r w:rsidR="795EB191">
              <w:rPr>
                <w:b/>
                <w:bCs/>
              </w:rPr>
              <w:t xml:space="preserve"> </w:t>
            </w:r>
            <w:r>
              <w:rPr>
                <w:b/>
                <w:bCs/>
              </w:rPr>
              <w:tab/>
            </w:r>
            <w:r w:rsidR="006841FF">
              <w:t>March 2021</w:t>
            </w:r>
            <w:r>
              <w:rPr>
                <w:b/>
                <w:bCs/>
              </w:rPr>
              <w:tab/>
            </w:r>
            <w:r>
              <w:rPr>
                <w:b/>
                <w:bCs/>
              </w:rPr>
              <w:tab/>
            </w:r>
            <w:r>
              <w:rPr>
                <w:b/>
                <w:bCs/>
              </w:rPr>
              <w:tab/>
              <w:t>Summer:</w:t>
            </w:r>
            <w:r w:rsidR="006841FF">
              <w:rPr>
                <w:b/>
                <w:bCs/>
              </w:rPr>
              <w:t xml:space="preserve"> </w:t>
            </w:r>
            <w:r w:rsidR="006841FF" w:rsidRPr="006841FF">
              <w:t>June 2021</w:t>
            </w:r>
          </w:p>
          <w:p w14:paraId="1648C5F1" w14:textId="77777777" w:rsidR="00483742" w:rsidRPr="00483742" w:rsidRDefault="00483742">
            <w:pPr>
              <w:rPr>
                <w:b/>
                <w:bCs/>
              </w:rPr>
            </w:pPr>
          </w:p>
        </w:tc>
      </w:tr>
      <w:tr w:rsidR="00483742" w14:paraId="4C2588FB" w14:textId="77777777" w:rsidTr="453EC33D">
        <w:tc>
          <w:tcPr>
            <w:tcW w:w="14275" w:type="dxa"/>
          </w:tcPr>
          <w:p w14:paraId="6D2FE60D" w14:textId="77777777" w:rsidR="00483742" w:rsidRDefault="00483742">
            <w:pPr>
              <w:rPr>
                <w:b/>
                <w:bCs/>
              </w:rPr>
            </w:pPr>
            <w:r w:rsidRPr="00483742">
              <w:rPr>
                <w:b/>
                <w:bCs/>
              </w:rPr>
              <w:t>Autumn summary</w:t>
            </w:r>
          </w:p>
          <w:p w14:paraId="14B9570B" w14:textId="2C107682" w:rsidR="00FB77C7" w:rsidRDefault="01DEA195" w:rsidP="006841FF">
            <w:pPr>
              <w:rPr>
                <w:bCs/>
              </w:rPr>
            </w:pPr>
            <w:r w:rsidRPr="00BC1C3D">
              <w:rPr>
                <w:bCs/>
              </w:rPr>
              <w:t>The Governors questioned how the interv</w:t>
            </w:r>
            <w:r w:rsidR="003D6410">
              <w:rPr>
                <w:bCs/>
              </w:rPr>
              <w:t>entions were progressing and the</w:t>
            </w:r>
            <w:r w:rsidRPr="00BC1C3D">
              <w:rPr>
                <w:bCs/>
              </w:rPr>
              <w:t xml:space="preserve"> impact on the children’s progress. </w:t>
            </w:r>
            <w:r w:rsidR="00BC1C3D">
              <w:rPr>
                <w:bCs/>
              </w:rPr>
              <w:t>The interventions have shown some very good progress in reading throughout the school</w:t>
            </w:r>
            <w:r w:rsidR="009B1CB9">
              <w:rPr>
                <w:bCs/>
              </w:rPr>
              <w:t>.</w:t>
            </w:r>
            <w:r w:rsidR="00BC1C3D">
              <w:rPr>
                <w:bCs/>
              </w:rPr>
              <w:t xml:space="preserve"> However writing still remains a target throughout </w:t>
            </w:r>
            <w:r w:rsidR="003D6410">
              <w:rPr>
                <w:bCs/>
              </w:rPr>
              <w:t>the school.</w:t>
            </w:r>
            <w:r w:rsidR="00BC1C3D">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468"/>
              <w:gridCol w:w="1379"/>
              <w:gridCol w:w="1468"/>
              <w:gridCol w:w="1468"/>
              <w:gridCol w:w="1231"/>
              <w:gridCol w:w="1357"/>
            </w:tblGrid>
            <w:tr w:rsidR="00BC1C3D" w:rsidRPr="0089424C" w14:paraId="7F7EA74E" w14:textId="77777777" w:rsidTr="009B1CB9">
              <w:tc>
                <w:tcPr>
                  <w:tcW w:w="1371" w:type="dxa"/>
                  <w:shd w:val="clear" w:color="auto" w:fill="FFFF00"/>
                </w:tcPr>
                <w:p w14:paraId="55933375" w14:textId="77777777" w:rsidR="00BC1C3D" w:rsidRPr="0089424C" w:rsidRDefault="00BC1C3D" w:rsidP="00BC1C3D">
                  <w:pPr>
                    <w:spacing w:after="120"/>
                    <w:ind w:right="284"/>
                    <w:rPr>
                      <w:b/>
                    </w:rPr>
                  </w:pPr>
                  <w:r w:rsidRPr="0089424C">
                    <w:rPr>
                      <w:b/>
                    </w:rPr>
                    <w:t xml:space="preserve">Reading </w:t>
                  </w:r>
                </w:p>
              </w:tc>
              <w:tc>
                <w:tcPr>
                  <w:tcW w:w="1468" w:type="dxa"/>
                  <w:shd w:val="clear" w:color="auto" w:fill="FFFF00"/>
                </w:tcPr>
                <w:p w14:paraId="0B29F3C3" w14:textId="77777777" w:rsidR="00BC1C3D" w:rsidRPr="0089424C" w:rsidRDefault="00BC1C3D" w:rsidP="00BC1C3D">
                  <w:pPr>
                    <w:spacing w:after="120"/>
                    <w:ind w:right="284"/>
                    <w:rPr>
                      <w:b/>
                    </w:rPr>
                  </w:pPr>
                  <w:r w:rsidRPr="0089424C">
                    <w:rPr>
                      <w:b/>
                    </w:rPr>
                    <w:t>Y1</w:t>
                  </w:r>
                </w:p>
              </w:tc>
              <w:tc>
                <w:tcPr>
                  <w:tcW w:w="1379" w:type="dxa"/>
                  <w:shd w:val="clear" w:color="auto" w:fill="FFFF00"/>
                </w:tcPr>
                <w:p w14:paraId="637934AA" w14:textId="77777777" w:rsidR="00BC1C3D" w:rsidRPr="0089424C" w:rsidRDefault="00BC1C3D" w:rsidP="00BC1C3D">
                  <w:pPr>
                    <w:spacing w:after="120"/>
                    <w:ind w:right="284"/>
                    <w:rPr>
                      <w:b/>
                    </w:rPr>
                  </w:pPr>
                  <w:r w:rsidRPr="0089424C">
                    <w:rPr>
                      <w:b/>
                    </w:rPr>
                    <w:t>Y2</w:t>
                  </w:r>
                </w:p>
              </w:tc>
              <w:tc>
                <w:tcPr>
                  <w:tcW w:w="1468" w:type="dxa"/>
                  <w:shd w:val="clear" w:color="auto" w:fill="FFFF00"/>
                </w:tcPr>
                <w:p w14:paraId="3BE639C5" w14:textId="77777777" w:rsidR="00BC1C3D" w:rsidRPr="0089424C" w:rsidRDefault="00BC1C3D" w:rsidP="00BC1C3D">
                  <w:pPr>
                    <w:spacing w:after="120"/>
                    <w:ind w:right="284"/>
                    <w:rPr>
                      <w:b/>
                    </w:rPr>
                  </w:pPr>
                  <w:r w:rsidRPr="0089424C">
                    <w:rPr>
                      <w:b/>
                    </w:rPr>
                    <w:t>Y3</w:t>
                  </w:r>
                </w:p>
              </w:tc>
              <w:tc>
                <w:tcPr>
                  <w:tcW w:w="1468" w:type="dxa"/>
                  <w:shd w:val="clear" w:color="auto" w:fill="FFFF00"/>
                </w:tcPr>
                <w:p w14:paraId="0A431682" w14:textId="77777777" w:rsidR="00BC1C3D" w:rsidRPr="0089424C" w:rsidRDefault="00BC1C3D" w:rsidP="00BC1C3D">
                  <w:pPr>
                    <w:spacing w:after="120"/>
                    <w:ind w:right="284"/>
                    <w:rPr>
                      <w:b/>
                    </w:rPr>
                  </w:pPr>
                  <w:r w:rsidRPr="0089424C">
                    <w:rPr>
                      <w:b/>
                    </w:rPr>
                    <w:t>Y4</w:t>
                  </w:r>
                </w:p>
              </w:tc>
              <w:tc>
                <w:tcPr>
                  <w:tcW w:w="1231" w:type="dxa"/>
                  <w:shd w:val="clear" w:color="auto" w:fill="FFFF00"/>
                </w:tcPr>
                <w:p w14:paraId="4AC327D5" w14:textId="77777777" w:rsidR="00BC1C3D" w:rsidRPr="0089424C" w:rsidRDefault="00BC1C3D" w:rsidP="00BC1C3D">
                  <w:pPr>
                    <w:spacing w:after="120"/>
                    <w:ind w:right="284"/>
                    <w:rPr>
                      <w:b/>
                    </w:rPr>
                  </w:pPr>
                  <w:r w:rsidRPr="0089424C">
                    <w:rPr>
                      <w:b/>
                    </w:rPr>
                    <w:t>Y5</w:t>
                  </w:r>
                </w:p>
              </w:tc>
              <w:tc>
                <w:tcPr>
                  <w:tcW w:w="1357" w:type="dxa"/>
                  <w:shd w:val="clear" w:color="auto" w:fill="FFFF00"/>
                </w:tcPr>
                <w:p w14:paraId="3BDBEF78" w14:textId="77777777" w:rsidR="00BC1C3D" w:rsidRPr="0089424C" w:rsidRDefault="00BC1C3D" w:rsidP="00BC1C3D">
                  <w:pPr>
                    <w:spacing w:after="120"/>
                    <w:ind w:right="284"/>
                    <w:rPr>
                      <w:b/>
                    </w:rPr>
                  </w:pPr>
                  <w:r w:rsidRPr="0089424C">
                    <w:rPr>
                      <w:b/>
                    </w:rPr>
                    <w:t>Y6</w:t>
                  </w:r>
                </w:p>
              </w:tc>
            </w:tr>
            <w:tr w:rsidR="00BC1C3D" w:rsidRPr="0089424C" w14:paraId="080AA36C" w14:textId="77777777" w:rsidTr="009B1CB9">
              <w:tc>
                <w:tcPr>
                  <w:tcW w:w="1371" w:type="dxa"/>
                  <w:shd w:val="clear" w:color="auto" w:fill="auto"/>
                </w:tcPr>
                <w:p w14:paraId="38E55DF0" w14:textId="77777777" w:rsidR="00BC1C3D" w:rsidRPr="003F45B2" w:rsidRDefault="00BC1C3D" w:rsidP="00BC1C3D">
                  <w:pPr>
                    <w:spacing w:after="120"/>
                    <w:ind w:right="284"/>
                  </w:pPr>
                  <w:r w:rsidRPr="003F45B2">
                    <w:t>Expected progress</w:t>
                  </w:r>
                </w:p>
              </w:tc>
              <w:tc>
                <w:tcPr>
                  <w:tcW w:w="1468" w:type="dxa"/>
                  <w:shd w:val="clear" w:color="auto" w:fill="auto"/>
                </w:tcPr>
                <w:p w14:paraId="52518ABE" w14:textId="77777777" w:rsidR="00BC1C3D" w:rsidRPr="0089424C" w:rsidRDefault="00BC1C3D" w:rsidP="00BC1C3D">
                  <w:pPr>
                    <w:spacing w:after="120"/>
                    <w:ind w:right="284"/>
                    <w:rPr>
                      <w:sz w:val="19"/>
                      <w:szCs w:val="19"/>
                    </w:rPr>
                  </w:pPr>
                  <w:r w:rsidRPr="0089424C">
                    <w:rPr>
                      <w:sz w:val="19"/>
                      <w:szCs w:val="19"/>
                    </w:rPr>
                    <w:t>60%</w:t>
                  </w:r>
                </w:p>
              </w:tc>
              <w:tc>
                <w:tcPr>
                  <w:tcW w:w="1379" w:type="dxa"/>
                  <w:shd w:val="clear" w:color="auto" w:fill="auto"/>
                </w:tcPr>
                <w:p w14:paraId="1D446A9A" w14:textId="77777777" w:rsidR="00BC1C3D" w:rsidRPr="0089424C" w:rsidRDefault="00BC1C3D" w:rsidP="00BC1C3D">
                  <w:pPr>
                    <w:spacing w:after="120"/>
                    <w:ind w:right="284"/>
                    <w:rPr>
                      <w:sz w:val="19"/>
                      <w:szCs w:val="19"/>
                    </w:rPr>
                  </w:pPr>
                  <w:r w:rsidRPr="0089424C">
                    <w:rPr>
                      <w:sz w:val="19"/>
                      <w:szCs w:val="19"/>
                    </w:rPr>
                    <w:t>100%/8% GD</w:t>
                  </w:r>
                </w:p>
              </w:tc>
              <w:tc>
                <w:tcPr>
                  <w:tcW w:w="1468" w:type="dxa"/>
                  <w:shd w:val="clear" w:color="auto" w:fill="auto"/>
                </w:tcPr>
                <w:p w14:paraId="64BA45AC" w14:textId="77777777" w:rsidR="00BC1C3D" w:rsidRPr="0089424C" w:rsidRDefault="00BC1C3D" w:rsidP="00BC1C3D">
                  <w:pPr>
                    <w:spacing w:after="120"/>
                    <w:ind w:right="284"/>
                    <w:rPr>
                      <w:sz w:val="19"/>
                      <w:szCs w:val="19"/>
                    </w:rPr>
                  </w:pPr>
                  <w:r w:rsidRPr="0089424C">
                    <w:rPr>
                      <w:sz w:val="19"/>
                      <w:szCs w:val="19"/>
                    </w:rPr>
                    <w:t>100%/71% GD</w:t>
                  </w:r>
                </w:p>
              </w:tc>
              <w:tc>
                <w:tcPr>
                  <w:tcW w:w="1468" w:type="dxa"/>
                  <w:shd w:val="clear" w:color="auto" w:fill="auto"/>
                </w:tcPr>
                <w:p w14:paraId="590FCC5F" w14:textId="77777777" w:rsidR="00BC1C3D" w:rsidRPr="0089424C" w:rsidRDefault="00BC1C3D" w:rsidP="00BC1C3D">
                  <w:pPr>
                    <w:spacing w:after="120"/>
                    <w:ind w:right="284"/>
                    <w:rPr>
                      <w:sz w:val="19"/>
                      <w:szCs w:val="19"/>
                    </w:rPr>
                  </w:pPr>
                  <w:r w:rsidRPr="0089424C">
                    <w:rPr>
                      <w:sz w:val="19"/>
                      <w:szCs w:val="19"/>
                    </w:rPr>
                    <w:t>100%/77% GD</w:t>
                  </w:r>
                </w:p>
              </w:tc>
              <w:tc>
                <w:tcPr>
                  <w:tcW w:w="1231" w:type="dxa"/>
                  <w:shd w:val="clear" w:color="auto" w:fill="auto"/>
                </w:tcPr>
                <w:p w14:paraId="4E204023" w14:textId="77777777" w:rsidR="00BC1C3D" w:rsidRPr="0089424C" w:rsidRDefault="00BC1C3D" w:rsidP="00BC1C3D">
                  <w:pPr>
                    <w:spacing w:after="120"/>
                    <w:ind w:right="284"/>
                    <w:rPr>
                      <w:sz w:val="19"/>
                      <w:szCs w:val="19"/>
                    </w:rPr>
                  </w:pPr>
                  <w:r w:rsidRPr="0089424C">
                    <w:rPr>
                      <w:sz w:val="19"/>
                      <w:szCs w:val="19"/>
                    </w:rPr>
                    <w:t>55%</w:t>
                  </w:r>
                </w:p>
              </w:tc>
              <w:tc>
                <w:tcPr>
                  <w:tcW w:w="1357" w:type="dxa"/>
                  <w:shd w:val="clear" w:color="auto" w:fill="auto"/>
                </w:tcPr>
                <w:p w14:paraId="46496092" w14:textId="77777777" w:rsidR="00BC1C3D" w:rsidRPr="0089424C" w:rsidRDefault="00BC1C3D" w:rsidP="00BC1C3D">
                  <w:pPr>
                    <w:spacing w:after="120"/>
                    <w:ind w:right="284"/>
                    <w:rPr>
                      <w:sz w:val="19"/>
                      <w:szCs w:val="19"/>
                    </w:rPr>
                  </w:pPr>
                  <w:r w:rsidRPr="0089424C">
                    <w:rPr>
                      <w:sz w:val="19"/>
                      <w:szCs w:val="19"/>
                    </w:rPr>
                    <w:t>100%</w:t>
                  </w:r>
                </w:p>
              </w:tc>
            </w:tr>
            <w:tr w:rsidR="00BC1C3D" w:rsidRPr="0089424C" w14:paraId="2796450B" w14:textId="77777777" w:rsidTr="009B1CB9">
              <w:tc>
                <w:tcPr>
                  <w:tcW w:w="1371" w:type="dxa"/>
                  <w:shd w:val="clear" w:color="auto" w:fill="FFFF00"/>
                </w:tcPr>
                <w:p w14:paraId="340521B5" w14:textId="77777777" w:rsidR="00BC1C3D" w:rsidRPr="0089424C" w:rsidRDefault="00BC1C3D" w:rsidP="00BC1C3D">
                  <w:pPr>
                    <w:spacing w:after="120"/>
                    <w:ind w:right="284"/>
                    <w:rPr>
                      <w:b/>
                    </w:rPr>
                  </w:pPr>
                  <w:r w:rsidRPr="0089424C">
                    <w:rPr>
                      <w:b/>
                    </w:rPr>
                    <w:t xml:space="preserve">Writing </w:t>
                  </w:r>
                </w:p>
              </w:tc>
              <w:tc>
                <w:tcPr>
                  <w:tcW w:w="1468" w:type="dxa"/>
                  <w:shd w:val="clear" w:color="auto" w:fill="FFFF00"/>
                </w:tcPr>
                <w:p w14:paraId="43EAF180" w14:textId="77777777" w:rsidR="00BC1C3D" w:rsidRPr="0089424C" w:rsidRDefault="00BC1C3D" w:rsidP="00BC1C3D">
                  <w:pPr>
                    <w:spacing w:after="120"/>
                    <w:ind w:right="284"/>
                    <w:rPr>
                      <w:b/>
                    </w:rPr>
                  </w:pPr>
                  <w:r w:rsidRPr="0089424C">
                    <w:rPr>
                      <w:b/>
                    </w:rPr>
                    <w:t>Y1</w:t>
                  </w:r>
                </w:p>
              </w:tc>
              <w:tc>
                <w:tcPr>
                  <w:tcW w:w="1379" w:type="dxa"/>
                  <w:shd w:val="clear" w:color="auto" w:fill="FFFF00"/>
                </w:tcPr>
                <w:p w14:paraId="273F8B30" w14:textId="77777777" w:rsidR="00BC1C3D" w:rsidRPr="0089424C" w:rsidRDefault="00BC1C3D" w:rsidP="00BC1C3D">
                  <w:pPr>
                    <w:spacing w:after="120"/>
                    <w:ind w:right="284"/>
                    <w:rPr>
                      <w:b/>
                    </w:rPr>
                  </w:pPr>
                  <w:r w:rsidRPr="0089424C">
                    <w:rPr>
                      <w:b/>
                    </w:rPr>
                    <w:t>Y2</w:t>
                  </w:r>
                </w:p>
              </w:tc>
              <w:tc>
                <w:tcPr>
                  <w:tcW w:w="1468" w:type="dxa"/>
                  <w:shd w:val="clear" w:color="auto" w:fill="FFFF00"/>
                </w:tcPr>
                <w:p w14:paraId="4BCB7DC3" w14:textId="77777777" w:rsidR="00BC1C3D" w:rsidRPr="0089424C" w:rsidRDefault="00BC1C3D" w:rsidP="00BC1C3D">
                  <w:pPr>
                    <w:spacing w:after="120"/>
                    <w:ind w:right="284"/>
                    <w:rPr>
                      <w:b/>
                    </w:rPr>
                  </w:pPr>
                  <w:r w:rsidRPr="0089424C">
                    <w:rPr>
                      <w:b/>
                    </w:rPr>
                    <w:t>Y3</w:t>
                  </w:r>
                </w:p>
              </w:tc>
              <w:tc>
                <w:tcPr>
                  <w:tcW w:w="1468" w:type="dxa"/>
                  <w:shd w:val="clear" w:color="auto" w:fill="FFFF00"/>
                </w:tcPr>
                <w:p w14:paraId="58A48D10" w14:textId="77777777" w:rsidR="00BC1C3D" w:rsidRPr="0089424C" w:rsidRDefault="00BC1C3D" w:rsidP="00BC1C3D">
                  <w:pPr>
                    <w:spacing w:after="120"/>
                    <w:ind w:right="284"/>
                    <w:rPr>
                      <w:b/>
                    </w:rPr>
                  </w:pPr>
                  <w:r w:rsidRPr="0089424C">
                    <w:rPr>
                      <w:b/>
                    </w:rPr>
                    <w:t>Y4</w:t>
                  </w:r>
                </w:p>
              </w:tc>
              <w:tc>
                <w:tcPr>
                  <w:tcW w:w="1231" w:type="dxa"/>
                  <w:shd w:val="clear" w:color="auto" w:fill="FFFF00"/>
                </w:tcPr>
                <w:p w14:paraId="3BC475E1" w14:textId="77777777" w:rsidR="00BC1C3D" w:rsidRPr="0089424C" w:rsidRDefault="00BC1C3D" w:rsidP="00BC1C3D">
                  <w:pPr>
                    <w:spacing w:after="120"/>
                    <w:ind w:right="284"/>
                    <w:rPr>
                      <w:b/>
                    </w:rPr>
                  </w:pPr>
                  <w:r w:rsidRPr="0089424C">
                    <w:rPr>
                      <w:b/>
                    </w:rPr>
                    <w:t>Y5</w:t>
                  </w:r>
                </w:p>
              </w:tc>
              <w:tc>
                <w:tcPr>
                  <w:tcW w:w="1357" w:type="dxa"/>
                  <w:shd w:val="clear" w:color="auto" w:fill="FFFF00"/>
                </w:tcPr>
                <w:p w14:paraId="7AEB151F" w14:textId="77777777" w:rsidR="00BC1C3D" w:rsidRPr="0089424C" w:rsidRDefault="00BC1C3D" w:rsidP="00BC1C3D">
                  <w:pPr>
                    <w:spacing w:after="120"/>
                    <w:ind w:right="284"/>
                    <w:rPr>
                      <w:b/>
                    </w:rPr>
                  </w:pPr>
                  <w:r w:rsidRPr="0089424C">
                    <w:rPr>
                      <w:b/>
                    </w:rPr>
                    <w:t>Y6</w:t>
                  </w:r>
                </w:p>
              </w:tc>
            </w:tr>
            <w:tr w:rsidR="00BC1C3D" w:rsidRPr="0089424C" w14:paraId="387B6F2E" w14:textId="77777777" w:rsidTr="009B1CB9">
              <w:tc>
                <w:tcPr>
                  <w:tcW w:w="1371" w:type="dxa"/>
                  <w:shd w:val="clear" w:color="auto" w:fill="auto"/>
                </w:tcPr>
                <w:p w14:paraId="4AE3775C" w14:textId="77777777" w:rsidR="00BC1C3D" w:rsidRPr="0089424C" w:rsidRDefault="00BC1C3D" w:rsidP="00BC1C3D">
                  <w:pPr>
                    <w:spacing w:after="120"/>
                    <w:ind w:right="284"/>
                    <w:rPr>
                      <w:b/>
                    </w:rPr>
                  </w:pPr>
                  <w:r w:rsidRPr="003F45B2">
                    <w:t>Expected progress</w:t>
                  </w:r>
                </w:p>
              </w:tc>
              <w:tc>
                <w:tcPr>
                  <w:tcW w:w="1468" w:type="dxa"/>
                  <w:shd w:val="clear" w:color="auto" w:fill="auto"/>
                </w:tcPr>
                <w:p w14:paraId="1366DF63" w14:textId="77777777" w:rsidR="00BC1C3D" w:rsidRPr="0089424C" w:rsidRDefault="00BC1C3D" w:rsidP="00BC1C3D">
                  <w:pPr>
                    <w:spacing w:after="120"/>
                    <w:ind w:right="284"/>
                    <w:rPr>
                      <w:sz w:val="19"/>
                      <w:szCs w:val="19"/>
                    </w:rPr>
                  </w:pPr>
                  <w:r w:rsidRPr="0089424C">
                    <w:rPr>
                      <w:sz w:val="19"/>
                      <w:szCs w:val="19"/>
                    </w:rPr>
                    <w:t>60%/20%</w:t>
                  </w:r>
                </w:p>
              </w:tc>
              <w:tc>
                <w:tcPr>
                  <w:tcW w:w="1379" w:type="dxa"/>
                  <w:shd w:val="clear" w:color="auto" w:fill="auto"/>
                </w:tcPr>
                <w:p w14:paraId="6C94A012" w14:textId="77777777" w:rsidR="00BC1C3D" w:rsidRPr="0089424C" w:rsidRDefault="00BC1C3D" w:rsidP="00BC1C3D">
                  <w:pPr>
                    <w:spacing w:after="120"/>
                    <w:ind w:right="284"/>
                    <w:rPr>
                      <w:sz w:val="19"/>
                      <w:szCs w:val="19"/>
                    </w:rPr>
                  </w:pPr>
                  <w:r w:rsidRPr="0089424C">
                    <w:rPr>
                      <w:sz w:val="19"/>
                      <w:szCs w:val="19"/>
                    </w:rPr>
                    <w:t>100%</w:t>
                  </w:r>
                </w:p>
              </w:tc>
              <w:tc>
                <w:tcPr>
                  <w:tcW w:w="1468" w:type="dxa"/>
                  <w:shd w:val="clear" w:color="auto" w:fill="auto"/>
                </w:tcPr>
                <w:p w14:paraId="1CCDBAD7" w14:textId="77777777" w:rsidR="00BC1C3D" w:rsidRPr="0089424C" w:rsidRDefault="00BC1C3D" w:rsidP="00BC1C3D">
                  <w:pPr>
                    <w:spacing w:after="120"/>
                    <w:ind w:right="284"/>
                    <w:rPr>
                      <w:sz w:val="19"/>
                      <w:szCs w:val="19"/>
                    </w:rPr>
                  </w:pPr>
                  <w:r w:rsidRPr="0089424C">
                    <w:rPr>
                      <w:sz w:val="19"/>
                      <w:szCs w:val="19"/>
                    </w:rPr>
                    <w:t>14%</w:t>
                  </w:r>
                </w:p>
              </w:tc>
              <w:tc>
                <w:tcPr>
                  <w:tcW w:w="1468" w:type="dxa"/>
                  <w:shd w:val="clear" w:color="auto" w:fill="auto"/>
                </w:tcPr>
                <w:p w14:paraId="1B859DF4" w14:textId="77777777" w:rsidR="00BC1C3D" w:rsidRPr="0089424C" w:rsidRDefault="00BC1C3D" w:rsidP="00BC1C3D">
                  <w:pPr>
                    <w:spacing w:after="120"/>
                    <w:ind w:right="284"/>
                    <w:rPr>
                      <w:sz w:val="19"/>
                      <w:szCs w:val="19"/>
                    </w:rPr>
                  </w:pPr>
                  <w:r w:rsidRPr="0089424C">
                    <w:rPr>
                      <w:sz w:val="19"/>
                      <w:szCs w:val="19"/>
                    </w:rPr>
                    <w:t>0%</w:t>
                  </w:r>
                </w:p>
              </w:tc>
              <w:tc>
                <w:tcPr>
                  <w:tcW w:w="1231" w:type="dxa"/>
                  <w:shd w:val="clear" w:color="auto" w:fill="auto"/>
                </w:tcPr>
                <w:p w14:paraId="700956EE" w14:textId="77777777" w:rsidR="00BC1C3D" w:rsidRPr="0089424C" w:rsidRDefault="00BC1C3D" w:rsidP="00BC1C3D">
                  <w:pPr>
                    <w:spacing w:after="120"/>
                    <w:ind w:right="284"/>
                    <w:rPr>
                      <w:sz w:val="19"/>
                      <w:szCs w:val="19"/>
                    </w:rPr>
                  </w:pPr>
                  <w:r w:rsidRPr="0089424C">
                    <w:rPr>
                      <w:sz w:val="19"/>
                      <w:szCs w:val="19"/>
                    </w:rPr>
                    <w:t>13%</w:t>
                  </w:r>
                </w:p>
              </w:tc>
              <w:tc>
                <w:tcPr>
                  <w:tcW w:w="1357" w:type="dxa"/>
                  <w:shd w:val="clear" w:color="auto" w:fill="auto"/>
                </w:tcPr>
                <w:p w14:paraId="3158D8A1" w14:textId="77777777" w:rsidR="00BC1C3D" w:rsidRPr="0089424C" w:rsidRDefault="00BC1C3D" w:rsidP="00BC1C3D">
                  <w:pPr>
                    <w:spacing w:after="120"/>
                    <w:ind w:right="284"/>
                    <w:rPr>
                      <w:sz w:val="19"/>
                      <w:szCs w:val="19"/>
                    </w:rPr>
                  </w:pPr>
                  <w:r w:rsidRPr="0089424C">
                    <w:rPr>
                      <w:sz w:val="19"/>
                      <w:szCs w:val="19"/>
                    </w:rPr>
                    <w:t>55%/11%</w:t>
                  </w:r>
                </w:p>
              </w:tc>
            </w:tr>
            <w:tr w:rsidR="00BC1C3D" w:rsidRPr="0089424C" w14:paraId="0EF21716" w14:textId="77777777" w:rsidTr="009B1CB9">
              <w:tc>
                <w:tcPr>
                  <w:tcW w:w="1371" w:type="dxa"/>
                  <w:shd w:val="clear" w:color="auto" w:fill="auto"/>
                </w:tcPr>
                <w:p w14:paraId="7265179E" w14:textId="77777777" w:rsidR="00BC1C3D" w:rsidRPr="0089424C" w:rsidRDefault="00BC1C3D" w:rsidP="00BC1C3D">
                  <w:pPr>
                    <w:spacing w:after="120"/>
                    <w:ind w:right="284"/>
                    <w:rPr>
                      <w:b/>
                    </w:rPr>
                  </w:pPr>
                  <w:r w:rsidRPr="003F45B2">
                    <w:t>Some progress</w:t>
                  </w:r>
                </w:p>
              </w:tc>
              <w:tc>
                <w:tcPr>
                  <w:tcW w:w="1468" w:type="dxa"/>
                  <w:shd w:val="clear" w:color="auto" w:fill="auto"/>
                </w:tcPr>
                <w:p w14:paraId="2B47F56C" w14:textId="77777777" w:rsidR="00BC1C3D" w:rsidRPr="0089424C" w:rsidRDefault="00BC1C3D" w:rsidP="00BC1C3D">
                  <w:pPr>
                    <w:spacing w:after="120"/>
                    <w:ind w:right="284"/>
                    <w:rPr>
                      <w:sz w:val="19"/>
                      <w:szCs w:val="19"/>
                    </w:rPr>
                  </w:pPr>
                  <w:r w:rsidRPr="0089424C">
                    <w:rPr>
                      <w:sz w:val="19"/>
                      <w:szCs w:val="19"/>
                    </w:rPr>
                    <w:t>60%</w:t>
                  </w:r>
                </w:p>
              </w:tc>
              <w:tc>
                <w:tcPr>
                  <w:tcW w:w="1379" w:type="dxa"/>
                  <w:shd w:val="clear" w:color="auto" w:fill="auto"/>
                </w:tcPr>
                <w:p w14:paraId="029EEECE" w14:textId="77777777" w:rsidR="00BC1C3D" w:rsidRPr="0089424C" w:rsidRDefault="00BC1C3D" w:rsidP="00BC1C3D">
                  <w:pPr>
                    <w:spacing w:after="120"/>
                    <w:ind w:right="284"/>
                    <w:rPr>
                      <w:sz w:val="19"/>
                      <w:szCs w:val="19"/>
                    </w:rPr>
                  </w:pPr>
                  <w:r w:rsidRPr="0089424C">
                    <w:rPr>
                      <w:sz w:val="19"/>
                      <w:szCs w:val="19"/>
                    </w:rPr>
                    <w:t>100%</w:t>
                  </w:r>
                </w:p>
              </w:tc>
              <w:tc>
                <w:tcPr>
                  <w:tcW w:w="1468" w:type="dxa"/>
                  <w:shd w:val="clear" w:color="auto" w:fill="auto"/>
                </w:tcPr>
                <w:p w14:paraId="263BFBA7" w14:textId="77777777" w:rsidR="00BC1C3D" w:rsidRPr="0089424C" w:rsidRDefault="00BC1C3D" w:rsidP="00BC1C3D">
                  <w:pPr>
                    <w:spacing w:after="120"/>
                    <w:ind w:right="284"/>
                    <w:rPr>
                      <w:sz w:val="19"/>
                      <w:szCs w:val="19"/>
                    </w:rPr>
                  </w:pPr>
                  <w:r w:rsidRPr="0089424C">
                    <w:rPr>
                      <w:sz w:val="19"/>
                      <w:szCs w:val="19"/>
                    </w:rPr>
                    <w:t>28%</w:t>
                  </w:r>
                </w:p>
              </w:tc>
              <w:tc>
                <w:tcPr>
                  <w:tcW w:w="1468" w:type="dxa"/>
                  <w:shd w:val="clear" w:color="auto" w:fill="auto"/>
                </w:tcPr>
                <w:p w14:paraId="6631EC97" w14:textId="77777777" w:rsidR="00BC1C3D" w:rsidRPr="0089424C" w:rsidRDefault="00BC1C3D" w:rsidP="00BC1C3D">
                  <w:pPr>
                    <w:spacing w:after="120"/>
                    <w:ind w:right="284"/>
                    <w:rPr>
                      <w:sz w:val="19"/>
                      <w:szCs w:val="19"/>
                    </w:rPr>
                  </w:pPr>
                  <w:r w:rsidRPr="0089424C">
                    <w:rPr>
                      <w:sz w:val="19"/>
                      <w:szCs w:val="19"/>
                    </w:rPr>
                    <w:t>44%</w:t>
                  </w:r>
                </w:p>
              </w:tc>
              <w:tc>
                <w:tcPr>
                  <w:tcW w:w="1231" w:type="dxa"/>
                  <w:shd w:val="clear" w:color="auto" w:fill="auto"/>
                </w:tcPr>
                <w:p w14:paraId="244E532B" w14:textId="77777777" w:rsidR="00BC1C3D" w:rsidRPr="0089424C" w:rsidRDefault="00BC1C3D" w:rsidP="00BC1C3D">
                  <w:pPr>
                    <w:spacing w:after="120"/>
                    <w:ind w:right="284"/>
                    <w:rPr>
                      <w:sz w:val="19"/>
                      <w:szCs w:val="19"/>
                    </w:rPr>
                  </w:pPr>
                  <w:r w:rsidRPr="0089424C">
                    <w:rPr>
                      <w:sz w:val="19"/>
                      <w:szCs w:val="19"/>
                    </w:rPr>
                    <w:t>44%</w:t>
                  </w:r>
                </w:p>
              </w:tc>
              <w:tc>
                <w:tcPr>
                  <w:tcW w:w="1357" w:type="dxa"/>
                  <w:shd w:val="clear" w:color="auto" w:fill="auto"/>
                </w:tcPr>
                <w:p w14:paraId="6BD96B31" w14:textId="77777777" w:rsidR="00BC1C3D" w:rsidRPr="0089424C" w:rsidRDefault="00BC1C3D" w:rsidP="00BC1C3D">
                  <w:pPr>
                    <w:spacing w:after="120"/>
                    <w:ind w:right="284"/>
                    <w:rPr>
                      <w:sz w:val="19"/>
                      <w:szCs w:val="19"/>
                    </w:rPr>
                  </w:pPr>
                  <w:r w:rsidRPr="0089424C">
                    <w:rPr>
                      <w:sz w:val="19"/>
                      <w:szCs w:val="19"/>
                    </w:rPr>
                    <w:t>88%</w:t>
                  </w:r>
                </w:p>
              </w:tc>
            </w:tr>
            <w:tr w:rsidR="00BC1C3D" w:rsidRPr="0089424C" w14:paraId="75540F44" w14:textId="77777777" w:rsidTr="009B1CB9">
              <w:tc>
                <w:tcPr>
                  <w:tcW w:w="1371" w:type="dxa"/>
                  <w:shd w:val="clear" w:color="auto" w:fill="FFFF00"/>
                </w:tcPr>
                <w:p w14:paraId="37429CC3" w14:textId="77777777" w:rsidR="00BC1C3D" w:rsidRPr="0089424C" w:rsidRDefault="00BC1C3D" w:rsidP="00BC1C3D">
                  <w:pPr>
                    <w:spacing w:after="120"/>
                    <w:ind w:right="284"/>
                    <w:rPr>
                      <w:b/>
                    </w:rPr>
                  </w:pPr>
                  <w:r w:rsidRPr="0089424C">
                    <w:rPr>
                      <w:b/>
                    </w:rPr>
                    <w:lastRenderedPageBreak/>
                    <w:t xml:space="preserve">Maths </w:t>
                  </w:r>
                </w:p>
              </w:tc>
              <w:tc>
                <w:tcPr>
                  <w:tcW w:w="1468" w:type="dxa"/>
                  <w:shd w:val="clear" w:color="auto" w:fill="FFFF00"/>
                </w:tcPr>
                <w:p w14:paraId="1184C294" w14:textId="77777777" w:rsidR="00BC1C3D" w:rsidRPr="0089424C" w:rsidRDefault="00BC1C3D" w:rsidP="00BC1C3D">
                  <w:pPr>
                    <w:spacing w:after="120"/>
                    <w:ind w:right="284"/>
                    <w:rPr>
                      <w:b/>
                    </w:rPr>
                  </w:pPr>
                  <w:r w:rsidRPr="0089424C">
                    <w:rPr>
                      <w:b/>
                    </w:rPr>
                    <w:t>Y1</w:t>
                  </w:r>
                </w:p>
              </w:tc>
              <w:tc>
                <w:tcPr>
                  <w:tcW w:w="1379" w:type="dxa"/>
                  <w:shd w:val="clear" w:color="auto" w:fill="FFFF00"/>
                </w:tcPr>
                <w:p w14:paraId="2D296429" w14:textId="77777777" w:rsidR="00BC1C3D" w:rsidRPr="0089424C" w:rsidRDefault="00BC1C3D" w:rsidP="00BC1C3D">
                  <w:pPr>
                    <w:spacing w:after="120"/>
                    <w:ind w:right="284"/>
                    <w:rPr>
                      <w:b/>
                    </w:rPr>
                  </w:pPr>
                  <w:r w:rsidRPr="0089424C">
                    <w:rPr>
                      <w:b/>
                    </w:rPr>
                    <w:t>Y2</w:t>
                  </w:r>
                </w:p>
              </w:tc>
              <w:tc>
                <w:tcPr>
                  <w:tcW w:w="1468" w:type="dxa"/>
                  <w:shd w:val="clear" w:color="auto" w:fill="FFFF00"/>
                </w:tcPr>
                <w:p w14:paraId="27F43BCF" w14:textId="77777777" w:rsidR="00BC1C3D" w:rsidRPr="0089424C" w:rsidRDefault="00BC1C3D" w:rsidP="00BC1C3D">
                  <w:pPr>
                    <w:spacing w:after="120"/>
                    <w:ind w:right="284"/>
                    <w:rPr>
                      <w:b/>
                    </w:rPr>
                  </w:pPr>
                  <w:r w:rsidRPr="0089424C">
                    <w:rPr>
                      <w:b/>
                    </w:rPr>
                    <w:t>Y3</w:t>
                  </w:r>
                </w:p>
              </w:tc>
              <w:tc>
                <w:tcPr>
                  <w:tcW w:w="1468" w:type="dxa"/>
                  <w:shd w:val="clear" w:color="auto" w:fill="FFFF00"/>
                </w:tcPr>
                <w:p w14:paraId="5FA72F8A" w14:textId="77777777" w:rsidR="00BC1C3D" w:rsidRPr="0089424C" w:rsidRDefault="00BC1C3D" w:rsidP="00BC1C3D">
                  <w:pPr>
                    <w:spacing w:after="120"/>
                    <w:ind w:right="284"/>
                    <w:rPr>
                      <w:b/>
                    </w:rPr>
                  </w:pPr>
                  <w:r w:rsidRPr="0089424C">
                    <w:rPr>
                      <w:b/>
                    </w:rPr>
                    <w:t>Y4</w:t>
                  </w:r>
                </w:p>
              </w:tc>
              <w:tc>
                <w:tcPr>
                  <w:tcW w:w="1231" w:type="dxa"/>
                  <w:shd w:val="clear" w:color="auto" w:fill="FFFF00"/>
                </w:tcPr>
                <w:p w14:paraId="2BD7BBF1" w14:textId="77777777" w:rsidR="00BC1C3D" w:rsidRPr="0089424C" w:rsidRDefault="00BC1C3D" w:rsidP="00BC1C3D">
                  <w:pPr>
                    <w:spacing w:after="120"/>
                    <w:ind w:right="284"/>
                    <w:rPr>
                      <w:b/>
                    </w:rPr>
                  </w:pPr>
                  <w:r w:rsidRPr="0089424C">
                    <w:rPr>
                      <w:b/>
                    </w:rPr>
                    <w:t>Y5</w:t>
                  </w:r>
                </w:p>
              </w:tc>
              <w:tc>
                <w:tcPr>
                  <w:tcW w:w="1357" w:type="dxa"/>
                  <w:shd w:val="clear" w:color="auto" w:fill="FFFF00"/>
                </w:tcPr>
                <w:p w14:paraId="0E51DB3B" w14:textId="77777777" w:rsidR="00BC1C3D" w:rsidRPr="0089424C" w:rsidRDefault="00BC1C3D" w:rsidP="00BC1C3D">
                  <w:pPr>
                    <w:spacing w:after="120"/>
                    <w:ind w:right="284"/>
                    <w:rPr>
                      <w:b/>
                    </w:rPr>
                  </w:pPr>
                  <w:r w:rsidRPr="0089424C">
                    <w:rPr>
                      <w:b/>
                    </w:rPr>
                    <w:t>Y6</w:t>
                  </w:r>
                </w:p>
              </w:tc>
            </w:tr>
            <w:tr w:rsidR="00BC1C3D" w:rsidRPr="0089424C" w14:paraId="634530AA" w14:textId="77777777" w:rsidTr="009B1CB9">
              <w:tc>
                <w:tcPr>
                  <w:tcW w:w="1371" w:type="dxa"/>
                  <w:shd w:val="clear" w:color="auto" w:fill="auto"/>
                </w:tcPr>
                <w:p w14:paraId="34DAA3AF" w14:textId="77777777" w:rsidR="00BC1C3D" w:rsidRPr="0089424C" w:rsidRDefault="00BC1C3D" w:rsidP="00BC1C3D">
                  <w:pPr>
                    <w:spacing w:after="120"/>
                    <w:ind w:right="284"/>
                    <w:rPr>
                      <w:b/>
                    </w:rPr>
                  </w:pPr>
                  <w:r w:rsidRPr="003F45B2">
                    <w:t>Expected progress</w:t>
                  </w:r>
                </w:p>
              </w:tc>
              <w:tc>
                <w:tcPr>
                  <w:tcW w:w="1468" w:type="dxa"/>
                  <w:shd w:val="clear" w:color="auto" w:fill="auto"/>
                </w:tcPr>
                <w:p w14:paraId="42C62D57" w14:textId="77777777" w:rsidR="00BC1C3D" w:rsidRPr="0089424C" w:rsidRDefault="00BC1C3D" w:rsidP="00BC1C3D">
                  <w:pPr>
                    <w:spacing w:after="120"/>
                    <w:ind w:right="284"/>
                    <w:rPr>
                      <w:sz w:val="19"/>
                      <w:szCs w:val="19"/>
                    </w:rPr>
                  </w:pPr>
                  <w:r w:rsidRPr="0089424C">
                    <w:rPr>
                      <w:sz w:val="19"/>
                      <w:szCs w:val="19"/>
                    </w:rPr>
                    <w:t>100%/20%</w:t>
                  </w:r>
                </w:p>
              </w:tc>
              <w:tc>
                <w:tcPr>
                  <w:tcW w:w="1379" w:type="dxa"/>
                  <w:shd w:val="clear" w:color="auto" w:fill="auto"/>
                </w:tcPr>
                <w:p w14:paraId="47C6485C" w14:textId="77777777" w:rsidR="00BC1C3D" w:rsidRPr="0089424C" w:rsidRDefault="00BC1C3D" w:rsidP="00BC1C3D">
                  <w:pPr>
                    <w:spacing w:after="120"/>
                    <w:ind w:right="284"/>
                    <w:rPr>
                      <w:sz w:val="19"/>
                      <w:szCs w:val="19"/>
                    </w:rPr>
                  </w:pPr>
                  <w:r w:rsidRPr="0089424C">
                    <w:rPr>
                      <w:sz w:val="19"/>
                      <w:szCs w:val="19"/>
                    </w:rPr>
                    <w:t>92%/25%</w:t>
                  </w:r>
                </w:p>
              </w:tc>
              <w:tc>
                <w:tcPr>
                  <w:tcW w:w="1468" w:type="dxa"/>
                  <w:shd w:val="clear" w:color="auto" w:fill="auto"/>
                </w:tcPr>
                <w:p w14:paraId="1CD2BE87" w14:textId="77777777" w:rsidR="00BC1C3D" w:rsidRPr="0089424C" w:rsidRDefault="00BC1C3D" w:rsidP="00BC1C3D">
                  <w:pPr>
                    <w:spacing w:after="120"/>
                    <w:ind w:right="284"/>
                    <w:rPr>
                      <w:sz w:val="19"/>
                      <w:szCs w:val="19"/>
                    </w:rPr>
                  </w:pPr>
                  <w:r w:rsidRPr="0089424C">
                    <w:rPr>
                      <w:sz w:val="19"/>
                      <w:szCs w:val="19"/>
                    </w:rPr>
                    <w:t>86%</w:t>
                  </w:r>
                </w:p>
              </w:tc>
              <w:tc>
                <w:tcPr>
                  <w:tcW w:w="1468" w:type="dxa"/>
                  <w:shd w:val="clear" w:color="auto" w:fill="auto"/>
                </w:tcPr>
                <w:p w14:paraId="5BE3F0FF" w14:textId="77777777" w:rsidR="00BC1C3D" w:rsidRPr="0089424C" w:rsidRDefault="00BC1C3D" w:rsidP="00BC1C3D">
                  <w:pPr>
                    <w:spacing w:after="120"/>
                    <w:ind w:right="284"/>
                    <w:rPr>
                      <w:sz w:val="19"/>
                      <w:szCs w:val="19"/>
                    </w:rPr>
                  </w:pPr>
                  <w:r w:rsidRPr="0089424C">
                    <w:rPr>
                      <w:sz w:val="19"/>
                      <w:szCs w:val="19"/>
                    </w:rPr>
                    <w:t>100%</w:t>
                  </w:r>
                </w:p>
              </w:tc>
              <w:tc>
                <w:tcPr>
                  <w:tcW w:w="1231" w:type="dxa"/>
                  <w:shd w:val="clear" w:color="auto" w:fill="auto"/>
                </w:tcPr>
                <w:p w14:paraId="52A14A11" w14:textId="77777777" w:rsidR="00BC1C3D" w:rsidRPr="0089424C" w:rsidRDefault="00BC1C3D" w:rsidP="00BC1C3D">
                  <w:pPr>
                    <w:spacing w:after="120"/>
                    <w:ind w:right="284"/>
                    <w:rPr>
                      <w:sz w:val="19"/>
                      <w:szCs w:val="19"/>
                    </w:rPr>
                  </w:pPr>
                  <w:r w:rsidRPr="0089424C">
                    <w:rPr>
                      <w:sz w:val="19"/>
                      <w:szCs w:val="19"/>
                    </w:rPr>
                    <w:t>44%/11%</w:t>
                  </w:r>
                </w:p>
              </w:tc>
              <w:tc>
                <w:tcPr>
                  <w:tcW w:w="1357" w:type="dxa"/>
                  <w:shd w:val="clear" w:color="auto" w:fill="auto"/>
                </w:tcPr>
                <w:p w14:paraId="10A34971" w14:textId="77777777" w:rsidR="00BC1C3D" w:rsidRPr="0089424C" w:rsidRDefault="00BC1C3D" w:rsidP="00BC1C3D">
                  <w:pPr>
                    <w:spacing w:after="120"/>
                    <w:ind w:right="284"/>
                    <w:rPr>
                      <w:sz w:val="19"/>
                      <w:szCs w:val="19"/>
                    </w:rPr>
                  </w:pPr>
                  <w:r w:rsidRPr="0089424C">
                    <w:rPr>
                      <w:sz w:val="19"/>
                      <w:szCs w:val="19"/>
                    </w:rPr>
                    <w:t>44%/11%</w:t>
                  </w:r>
                </w:p>
              </w:tc>
            </w:tr>
            <w:tr w:rsidR="00BC1C3D" w:rsidRPr="0089424C" w14:paraId="317D4E92" w14:textId="77777777" w:rsidTr="009B1CB9">
              <w:tc>
                <w:tcPr>
                  <w:tcW w:w="1371" w:type="dxa"/>
                  <w:shd w:val="clear" w:color="auto" w:fill="auto"/>
                </w:tcPr>
                <w:p w14:paraId="7068E7EF" w14:textId="77777777" w:rsidR="00BC1C3D" w:rsidRPr="0089424C" w:rsidRDefault="00BC1C3D" w:rsidP="00BC1C3D">
                  <w:pPr>
                    <w:spacing w:after="120"/>
                    <w:ind w:right="284"/>
                    <w:rPr>
                      <w:b/>
                    </w:rPr>
                  </w:pPr>
                  <w:r w:rsidRPr="003F45B2">
                    <w:t>Some progress</w:t>
                  </w:r>
                </w:p>
              </w:tc>
              <w:tc>
                <w:tcPr>
                  <w:tcW w:w="1468" w:type="dxa"/>
                  <w:shd w:val="clear" w:color="auto" w:fill="auto"/>
                </w:tcPr>
                <w:p w14:paraId="0396B789" w14:textId="77777777" w:rsidR="00BC1C3D" w:rsidRPr="0089424C" w:rsidRDefault="00BC1C3D" w:rsidP="00BC1C3D">
                  <w:pPr>
                    <w:spacing w:after="120"/>
                    <w:ind w:right="284"/>
                    <w:rPr>
                      <w:sz w:val="19"/>
                      <w:szCs w:val="19"/>
                    </w:rPr>
                  </w:pPr>
                  <w:r w:rsidRPr="0089424C">
                    <w:rPr>
                      <w:sz w:val="19"/>
                      <w:szCs w:val="19"/>
                    </w:rPr>
                    <w:t>100%/20%</w:t>
                  </w:r>
                </w:p>
              </w:tc>
              <w:tc>
                <w:tcPr>
                  <w:tcW w:w="1379" w:type="dxa"/>
                  <w:shd w:val="clear" w:color="auto" w:fill="auto"/>
                </w:tcPr>
                <w:p w14:paraId="480BB20D" w14:textId="77777777" w:rsidR="00BC1C3D" w:rsidRPr="0089424C" w:rsidRDefault="00BC1C3D" w:rsidP="00BC1C3D">
                  <w:pPr>
                    <w:spacing w:after="120"/>
                    <w:ind w:right="284"/>
                    <w:rPr>
                      <w:sz w:val="19"/>
                      <w:szCs w:val="19"/>
                    </w:rPr>
                  </w:pPr>
                  <w:r w:rsidRPr="0089424C">
                    <w:rPr>
                      <w:sz w:val="19"/>
                      <w:szCs w:val="19"/>
                    </w:rPr>
                    <w:t>92%/25%</w:t>
                  </w:r>
                </w:p>
              </w:tc>
              <w:tc>
                <w:tcPr>
                  <w:tcW w:w="1468" w:type="dxa"/>
                  <w:shd w:val="clear" w:color="auto" w:fill="auto"/>
                </w:tcPr>
                <w:p w14:paraId="03BA67CE" w14:textId="77777777" w:rsidR="00BC1C3D" w:rsidRPr="0089424C" w:rsidRDefault="00BC1C3D" w:rsidP="00BC1C3D">
                  <w:pPr>
                    <w:spacing w:after="120"/>
                    <w:ind w:right="284"/>
                    <w:rPr>
                      <w:sz w:val="19"/>
                      <w:szCs w:val="19"/>
                    </w:rPr>
                  </w:pPr>
                  <w:r w:rsidRPr="0089424C">
                    <w:rPr>
                      <w:sz w:val="19"/>
                      <w:szCs w:val="19"/>
                    </w:rPr>
                    <w:t>86%</w:t>
                  </w:r>
                </w:p>
              </w:tc>
              <w:tc>
                <w:tcPr>
                  <w:tcW w:w="1468" w:type="dxa"/>
                  <w:shd w:val="clear" w:color="auto" w:fill="auto"/>
                </w:tcPr>
                <w:p w14:paraId="212CFD77" w14:textId="77777777" w:rsidR="00BC1C3D" w:rsidRPr="0089424C" w:rsidRDefault="00BC1C3D" w:rsidP="00BC1C3D">
                  <w:pPr>
                    <w:spacing w:after="120"/>
                    <w:ind w:right="284"/>
                    <w:rPr>
                      <w:sz w:val="19"/>
                      <w:szCs w:val="19"/>
                    </w:rPr>
                  </w:pPr>
                  <w:r w:rsidRPr="0089424C">
                    <w:rPr>
                      <w:sz w:val="19"/>
                      <w:szCs w:val="19"/>
                    </w:rPr>
                    <w:t>100%</w:t>
                  </w:r>
                </w:p>
              </w:tc>
              <w:tc>
                <w:tcPr>
                  <w:tcW w:w="1231" w:type="dxa"/>
                  <w:shd w:val="clear" w:color="auto" w:fill="auto"/>
                </w:tcPr>
                <w:p w14:paraId="5604777A" w14:textId="77777777" w:rsidR="00BC1C3D" w:rsidRPr="0089424C" w:rsidRDefault="00BC1C3D" w:rsidP="00BC1C3D">
                  <w:pPr>
                    <w:spacing w:after="120"/>
                    <w:ind w:right="284"/>
                    <w:rPr>
                      <w:sz w:val="19"/>
                      <w:szCs w:val="19"/>
                    </w:rPr>
                  </w:pPr>
                  <w:r w:rsidRPr="0089424C">
                    <w:rPr>
                      <w:sz w:val="19"/>
                      <w:szCs w:val="19"/>
                    </w:rPr>
                    <w:t>77%</w:t>
                  </w:r>
                </w:p>
              </w:tc>
              <w:tc>
                <w:tcPr>
                  <w:tcW w:w="1357" w:type="dxa"/>
                  <w:shd w:val="clear" w:color="auto" w:fill="auto"/>
                </w:tcPr>
                <w:p w14:paraId="04685479" w14:textId="77777777" w:rsidR="00BC1C3D" w:rsidRPr="0089424C" w:rsidRDefault="00BC1C3D" w:rsidP="00BC1C3D">
                  <w:pPr>
                    <w:spacing w:after="120"/>
                    <w:ind w:right="284"/>
                    <w:rPr>
                      <w:sz w:val="19"/>
                      <w:szCs w:val="19"/>
                    </w:rPr>
                  </w:pPr>
                  <w:r w:rsidRPr="0089424C">
                    <w:rPr>
                      <w:sz w:val="19"/>
                      <w:szCs w:val="19"/>
                    </w:rPr>
                    <w:t>88%</w:t>
                  </w:r>
                </w:p>
              </w:tc>
            </w:tr>
          </w:tbl>
          <w:p w14:paraId="7D0F39B3" w14:textId="5F138F62" w:rsidR="00BC1C3D" w:rsidRPr="00BC1C3D" w:rsidRDefault="00BC1C3D" w:rsidP="006841FF">
            <w:pPr>
              <w:rPr>
                <w:bCs/>
              </w:rPr>
            </w:pPr>
          </w:p>
        </w:tc>
      </w:tr>
      <w:tr w:rsidR="00483742" w14:paraId="2B8C60D6" w14:textId="77777777" w:rsidTr="453EC33D">
        <w:tc>
          <w:tcPr>
            <w:tcW w:w="14275" w:type="dxa"/>
          </w:tcPr>
          <w:p w14:paraId="5704CFE3" w14:textId="77777777" w:rsidR="00483742" w:rsidRDefault="00483742">
            <w:pPr>
              <w:rPr>
                <w:b/>
                <w:bCs/>
              </w:rPr>
            </w:pPr>
            <w:r w:rsidRPr="00483742">
              <w:rPr>
                <w:b/>
                <w:bCs/>
              </w:rPr>
              <w:lastRenderedPageBreak/>
              <w:t>Spring summary</w:t>
            </w:r>
          </w:p>
          <w:p w14:paraId="6A507459" w14:textId="77777777" w:rsidR="00483742" w:rsidRPr="00483742" w:rsidRDefault="00483742">
            <w:pPr>
              <w:rPr>
                <w:b/>
                <w:bCs/>
              </w:rPr>
            </w:pPr>
          </w:p>
        </w:tc>
      </w:tr>
      <w:tr w:rsidR="00483742" w14:paraId="69C5D104" w14:textId="77777777" w:rsidTr="453EC33D">
        <w:tc>
          <w:tcPr>
            <w:tcW w:w="14275" w:type="dxa"/>
          </w:tcPr>
          <w:p w14:paraId="065DB7B2" w14:textId="77777777" w:rsidR="00483742" w:rsidRDefault="00483742">
            <w:pPr>
              <w:rPr>
                <w:b/>
                <w:bCs/>
              </w:rPr>
            </w:pPr>
            <w:r w:rsidRPr="00483742">
              <w:rPr>
                <w:b/>
                <w:bCs/>
              </w:rPr>
              <w:t>Summer summary</w:t>
            </w:r>
          </w:p>
          <w:p w14:paraId="7C79DAA4" w14:textId="2A15189B" w:rsidR="00FB77C7" w:rsidRPr="00483742" w:rsidRDefault="00FB77C7">
            <w:pPr>
              <w:rPr>
                <w:b/>
                <w:bCs/>
              </w:rPr>
            </w:pPr>
          </w:p>
        </w:tc>
      </w:tr>
    </w:tbl>
    <w:p w14:paraId="64F08801" w14:textId="77777777" w:rsidR="00483742" w:rsidRDefault="00483742"/>
    <w:sectPr w:rsidR="00483742" w:rsidSect="000C2E2D">
      <w:pgSz w:w="16838" w:h="11906" w:orient="landscape"/>
      <w:pgMar w:top="426" w:right="113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957D9"/>
    <w:multiLevelType w:val="hybridMultilevel"/>
    <w:tmpl w:val="2FE0F14C"/>
    <w:lvl w:ilvl="0" w:tplc="17B49B38">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1D"/>
    <w:rsid w:val="000141B1"/>
    <w:rsid w:val="00016889"/>
    <w:rsid w:val="00023B35"/>
    <w:rsid w:val="00023FC9"/>
    <w:rsid w:val="0005684C"/>
    <w:rsid w:val="00061360"/>
    <w:rsid w:val="00076F68"/>
    <w:rsid w:val="00082E6C"/>
    <w:rsid w:val="000B3C68"/>
    <w:rsid w:val="000C2E2D"/>
    <w:rsid w:val="000D7860"/>
    <w:rsid w:val="000E0397"/>
    <w:rsid w:val="000E0BFD"/>
    <w:rsid w:val="000F6D98"/>
    <w:rsid w:val="00142A3D"/>
    <w:rsid w:val="00155892"/>
    <w:rsid w:val="001579A0"/>
    <w:rsid w:val="0017466F"/>
    <w:rsid w:val="00186830"/>
    <w:rsid w:val="001C597C"/>
    <w:rsid w:val="001C6BFF"/>
    <w:rsid w:val="001D5381"/>
    <w:rsid w:val="00244F5E"/>
    <w:rsid w:val="0027285F"/>
    <w:rsid w:val="00282E08"/>
    <w:rsid w:val="00286B8E"/>
    <w:rsid w:val="002A2936"/>
    <w:rsid w:val="002A735D"/>
    <w:rsid w:val="002B2282"/>
    <w:rsid w:val="002B75DA"/>
    <w:rsid w:val="002D7D88"/>
    <w:rsid w:val="002E3AF6"/>
    <w:rsid w:val="002E6CD7"/>
    <w:rsid w:val="002F29E3"/>
    <w:rsid w:val="002F799F"/>
    <w:rsid w:val="0030097D"/>
    <w:rsid w:val="0030486F"/>
    <w:rsid w:val="00306CB7"/>
    <w:rsid w:val="0031018E"/>
    <w:rsid w:val="00312599"/>
    <w:rsid w:val="00317761"/>
    <w:rsid w:val="0036074D"/>
    <w:rsid w:val="003673E0"/>
    <w:rsid w:val="0037565D"/>
    <w:rsid w:val="00377F12"/>
    <w:rsid w:val="0038051E"/>
    <w:rsid w:val="00390346"/>
    <w:rsid w:val="003B3E5E"/>
    <w:rsid w:val="003D0DCF"/>
    <w:rsid w:val="003D6410"/>
    <w:rsid w:val="003E0D17"/>
    <w:rsid w:val="003E0D24"/>
    <w:rsid w:val="004072C1"/>
    <w:rsid w:val="00416F2D"/>
    <w:rsid w:val="00483742"/>
    <w:rsid w:val="004B5A1E"/>
    <w:rsid w:val="004E3EAC"/>
    <w:rsid w:val="004E40A0"/>
    <w:rsid w:val="004E6847"/>
    <w:rsid w:val="005314E9"/>
    <w:rsid w:val="005332C1"/>
    <w:rsid w:val="00533DD8"/>
    <w:rsid w:val="00537830"/>
    <w:rsid w:val="00553884"/>
    <w:rsid w:val="005B12C1"/>
    <w:rsid w:val="005B176E"/>
    <w:rsid w:val="005B188F"/>
    <w:rsid w:val="005C0689"/>
    <w:rsid w:val="005D2B5B"/>
    <w:rsid w:val="005D74F7"/>
    <w:rsid w:val="006321CD"/>
    <w:rsid w:val="00633F0F"/>
    <w:rsid w:val="00636838"/>
    <w:rsid w:val="00642BCD"/>
    <w:rsid w:val="00647810"/>
    <w:rsid w:val="00683A30"/>
    <w:rsid w:val="006841FF"/>
    <w:rsid w:val="006866D4"/>
    <w:rsid w:val="006C30EB"/>
    <w:rsid w:val="006E6811"/>
    <w:rsid w:val="006F0C67"/>
    <w:rsid w:val="007772CC"/>
    <w:rsid w:val="00797855"/>
    <w:rsid w:val="007A01C7"/>
    <w:rsid w:val="007B5239"/>
    <w:rsid w:val="007C799A"/>
    <w:rsid w:val="007D01FF"/>
    <w:rsid w:val="007D245F"/>
    <w:rsid w:val="00842225"/>
    <w:rsid w:val="00852940"/>
    <w:rsid w:val="00866C83"/>
    <w:rsid w:val="00884A10"/>
    <w:rsid w:val="008A1D5F"/>
    <w:rsid w:val="008A49DF"/>
    <w:rsid w:val="008A4C1A"/>
    <w:rsid w:val="008E498B"/>
    <w:rsid w:val="008F5E0D"/>
    <w:rsid w:val="008F6A88"/>
    <w:rsid w:val="00903DCA"/>
    <w:rsid w:val="009254E2"/>
    <w:rsid w:val="00935B0C"/>
    <w:rsid w:val="009538C2"/>
    <w:rsid w:val="0097687B"/>
    <w:rsid w:val="009B1CB9"/>
    <w:rsid w:val="009C4C6B"/>
    <w:rsid w:val="009F0187"/>
    <w:rsid w:val="00A24E53"/>
    <w:rsid w:val="00A43940"/>
    <w:rsid w:val="00A455DF"/>
    <w:rsid w:val="00A75D82"/>
    <w:rsid w:val="00A90FF1"/>
    <w:rsid w:val="00AA14DE"/>
    <w:rsid w:val="00AD75B7"/>
    <w:rsid w:val="00B12C06"/>
    <w:rsid w:val="00B61790"/>
    <w:rsid w:val="00B74AF2"/>
    <w:rsid w:val="00B80ADF"/>
    <w:rsid w:val="00BA7C44"/>
    <w:rsid w:val="00BB28F0"/>
    <w:rsid w:val="00BC1762"/>
    <w:rsid w:val="00BC1C3D"/>
    <w:rsid w:val="00BC6D55"/>
    <w:rsid w:val="00BD250B"/>
    <w:rsid w:val="00BD52DF"/>
    <w:rsid w:val="00C03629"/>
    <w:rsid w:val="00C04421"/>
    <w:rsid w:val="00C3400A"/>
    <w:rsid w:val="00C50CC3"/>
    <w:rsid w:val="00C52A65"/>
    <w:rsid w:val="00C53B98"/>
    <w:rsid w:val="00C64FEE"/>
    <w:rsid w:val="00C805EA"/>
    <w:rsid w:val="00C954EC"/>
    <w:rsid w:val="00C969F9"/>
    <w:rsid w:val="00CD4B36"/>
    <w:rsid w:val="00CE3B30"/>
    <w:rsid w:val="00CE40CD"/>
    <w:rsid w:val="00D0032C"/>
    <w:rsid w:val="00D049FC"/>
    <w:rsid w:val="00D063AA"/>
    <w:rsid w:val="00D07AF4"/>
    <w:rsid w:val="00D10319"/>
    <w:rsid w:val="00D23E1D"/>
    <w:rsid w:val="00D24579"/>
    <w:rsid w:val="00D473BD"/>
    <w:rsid w:val="00D915B9"/>
    <w:rsid w:val="00DB51EC"/>
    <w:rsid w:val="00DC6F7D"/>
    <w:rsid w:val="00DD3B76"/>
    <w:rsid w:val="00E07511"/>
    <w:rsid w:val="00E27011"/>
    <w:rsid w:val="00E32DCB"/>
    <w:rsid w:val="00E74D3A"/>
    <w:rsid w:val="00E85753"/>
    <w:rsid w:val="00EB059E"/>
    <w:rsid w:val="00ED1301"/>
    <w:rsid w:val="00ED382C"/>
    <w:rsid w:val="00F04841"/>
    <w:rsid w:val="00F13BC6"/>
    <w:rsid w:val="00F31685"/>
    <w:rsid w:val="00F566D4"/>
    <w:rsid w:val="00F660E2"/>
    <w:rsid w:val="00FA1A67"/>
    <w:rsid w:val="00FB77C7"/>
    <w:rsid w:val="00FC0B37"/>
    <w:rsid w:val="00FD3A67"/>
    <w:rsid w:val="01508DFF"/>
    <w:rsid w:val="01DEA195"/>
    <w:rsid w:val="06FBE6C3"/>
    <w:rsid w:val="0BE262A3"/>
    <w:rsid w:val="0C5B573C"/>
    <w:rsid w:val="0CB174B8"/>
    <w:rsid w:val="10E004D4"/>
    <w:rsid w:val="127DFF62"/>
    <w:rsid w:val="14636974"/>
    <w:rsid w:val="15812CB3"/>
    <w:rsid w:val="18326AFD"/>
    <w:rsid w:val="1A381F03"/>
    <w:rsid w:val="1AA1AF8A"/>
    <w:rsid w:val="1E0A5903"/>
    <w:rsid w:val="23C9170A"/>
    <w:rsid w:val="282C4C5A"/>
    <w:rsid w:val="2875B70C"/>
    <w:rsid w:val="28AD63CA"/>
    <w:rsid w:val="2C49003B"/>
    <w:rsid w:val="2CED53B8"/>
    <w:rsid w:val="2EB17069"/>
    <w:rsid w:val="30A9E812"/>
    <w:rsid w:val="3158E47A"/>
    <w:rsid w:val="35ACB5B7"/>
    <w:rsid w:val="36E71D59"/>
    <w:rsid w:val="36F0C1BD"/>
    <w:rsid w:val="37000042"/>
    <w:rsid w:val="399FF760"/>
    <w:rsid w:val="3B58329F"/>
    <w:rsid w:val="3B776D8D"/>
    <w:rsid w:val="3D3B7B61"/>
    <w:rsid w:val="3F48EB95"/>
    <w:rsid w:val="40209C0E"/>
    <w:rsid w:val="41811608"/>
    <w:rsid w:val="4482EC14"/>
    <w:rsid w:val="453EC33D"/>
    <w:rsid w:val="460D0845"/>
    <w:rsid w:val="48BBF24D"/>
    <w:rsid w:val="49449343"/>
    <w:rsid w:val="497C68AF"/>
    <w:rsid w:val="49DDE870"/>
    <w:rsid w:val="4E30B8EF"/>
    <w:rsid w:val="4F0D3D12"/>
    <w:rsid w:val="54CA3C48"/>
    <w:rsid w:val="54D89D10"/>
    <w:rsid w:val="56A59740"/>
    <w:rsid w:val="5ACFAF5F"/>
    <w:rsid w:val="5EFB1697"/>
    <w:rsid w:val="61E355B9"/>
    <w:rsid w:val="62B79496"/>
    <w:rsid w:val="62CA2F34"/>
    <w:rsid w:val="6501CC4C"/>
    <w:rsid w:val="65A738A9"/>
    <w:rsid w:val="673B6A7A"/>
    <w:rsid w:val="67679424"/>
    <w:rsid w:val="67711883"/>
    <w:rsid w:val="677C7F38"/>
    <w:rsid w:val="6B52BCED"/>
    <w:rsid w:val="6C0A738D"/>
    <w:rsid w:val="6F224D49"/>
    <w:rsid w:val="70B21E2D"/>
    <w:rsid w:val="7290D65F"/>
    <w:rsid w:val="7424B831"/>
    <w:rsid w:val="795EB191"/>
    <w:rsid w:val="7B559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80FC"/>
  <w15:docId w15:val="{1B587E19-16EF-4579-846E-FEF72000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basedOn w:val="DefaultParagraphFont"/>
    <w:uiPriority w:val="99"/>
    <w:unhideWhenUsed/>
    <w:rsid w:val="00016889"/>
    <w:rPr>
      <w:color w:val="0563C1" w:themeColor="hyperlink"/>
      <w:u w:val="single"/>
    </w:rPr>
  </w:style>
  <w:style w:type="character" w:customStyle="1" w:styleId="UnresolvedMention">
    <w:name w:val="Unresolved Mention"/>
    <w:basedOn w:val="DefaultParagraphFont"/>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CC"/>
    <w:rPr>
      <w:rFonts w:ascii="Segoe UI" w:hAnsi="Segoe UI" w:cs="Segoe UI"/>
      <w:sz w:val="18"/>
      <w:szCs w:val="18"/>
    </w:rPr>
  </w:style>
  <w:style w:type="paragraph" w:styleId="NoSpacing">
    <w:name w:val="No Spacing"/>
    <w:uiPriority w:val="1"/>
    <w:qFormat/>
    <w:rsid w:val="000F6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covid-19-resources/guide-to-supporting-schools-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F55D89FBA1014FAC1829CABA0D458C" ma:contentTypeVersion="7" ma:contentTypeDescription="Create a new document." ma:contentTypeScope="" ma:versionID="406bf50ce7d76767b6caea5eacf071da">
  <xsd:schema xmlns:xsd="http://www.w3.org/2001/XMLSchema" xmlns:xs="http://www.w3.org/2001/XMLSchema" xmlns:p="http://schemas.microsoft.com/office/2006/metadata/properties" xmlns:ns3="fafc0395-5040-4602-bfbe-293d565712c1" xmlns:ns4="20ebe190-8dc4-457d-aea9-9b6c0ab40ae4" targetNamespace="http://schemas.microsoft.com/office/2006/metadata/properties" ma:root="true" ma:fieldsID="08e70e384a928f820b9c8fa6ff706e7e" ns3:_="" ns4:_="">
    <xsd:import namespace="fafc0395-5040-4602-bfbe-293d565712c1"/>
    <xsd:import namespace="20ebe190-8dc4-457d-aea9-9b6c0ab40a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0395-5040-4602-bfbe-293d565712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be190-8dc4-457d-aea9-9b6c0ab40a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9841C-5A79-433D-A674-606EDEE1B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E2E94-D098-4B45-95B2-ADB61CCB8839}">
  <ds:schemaRefs>
    <ds:schemaRef ds:uri="http://schemas.microsoft.com/sharepoint/v3/contenttype/forms"/>
  </ds:schemaRefs>
</ds:datastoreItem>
</file>

<file path=customXml/itemProps3.xml><?xml version="1.0" encoding="utf-8"?>
<ds:datastoreItem xmlns:ds="http://schemas.openxmlformats.org/officeDocument/2006/customXml" ds:itemID="{A1E55869-C5AD-477A-BA89-F7DD3517A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0395-5040-4602-bfbe-293d565712c1"/>
    <ds:schemaRef ds:uri="20ebe190-8dc4-457d-aea9-9b6c0ab40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Gardener;Angela Vear</dc:creator>
  <cp:keywords/>
  <dc:description/>
  <cp:lastModifiedBy>L. Sturrock [ Ramshaw Primary School ]</cp:lastModifiedBy>
  <cp:revision>3</cp:revision>
  <cp:lastPrinted>2020-10-13T14:17:00Z</cp:lastPrinted>
  <dcterms:created xsi:type="dcterms:W3CDTF">2021-03-04T10:00:00Z</dcterms:created>
  <dcterms:modified xsi:type="dcterms:W3CDTF">2021-03-11T15:38:00Z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0x010100D0F55D89FBA1014FAC1829CABA0D458C</vt:lpwstr>
  </property>
</Properties>
</file>